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B2F340" w14:textId="77777777" w:rsidR="007E2E70" w:rsidRDefault="007E2E70" w:rsidP="007E2E70">
      <w:pPr>
        <w:spacing w:line="240" w:lineRule="auto"/>
        <w:jc w:val="center"/>
        <w:rPr>
          <w:rFonts w:eastAsia="Calibri" w:cs="Times New Roman"/>
          <w:szCs w:val="24"/>
        </w:rPr>
      </w:pPr>
      <w:r>
        <w:rPr>
          <w:rFonts w:eastAsia="Calibri" w:cs="Times New Roman"/>
          <w:szCs w:val="24"/>
        </w:rPr>
        <w:t>UNITED STATES DISTRICT COURT</w:t>
      </w:r>
    </w:p>
    <w:p w14:paraId="742A98C4" w14:textId="77777777" w:rsidR="007E2E70" w:rsidRDefault="007E2E70" w:rsidP="007E2E70">
      <w:pPr>
        <w:spacing w:line="240" w:lineRule="auto"/>
        <w:jc w:val="center"/>
        <w:rPr>
          <w:rFonts w:eastAsia="Calibri" w:cs="Times New Roman"/>
          <w:szCs w:val="24"/>
        </w:rPr>
      </w:pPr>
    </w:p>
    <w:p w14:paraId="21339216" w14:textId="77777777" w:rsidR="007E2E70" w:rsidRDefault="007E2E70" w:rsidP="007E2E70">
      <w:pPr>
        <w:spacing w:line="240" w:lineRule="auto"/>
        <w:ind w:left="107"/>
        <w:jc w:val="center"/>
        <w:rPr>
          <w:rFonts w:eastAsia="Times New Roman" w:cs="Times New Roman"/>
          <w:szCs w:val="24"/>
        </w:rPr>
      </w:pPr>
      <w:r>
        <w:rPr>
          <w:rFonts w:eastAsia="Calibri" w:cs="Times New Roman"/>
          <w:szCs w:val="24"/>
        </w:rPr>
        <w:t>DISTRICT OF MOOT</w:t>
      </w:r>
    </w:p>
    <w:tbl>
      <w:tblPr>
        <w:tblStyle w:val="TableGrid1"/>
        <w:tblW w:w="0" w:type="auto"/>
        <w:tblBorders>
          <w:top w:val="none" w:sz="0" w:space="0" w:color="auto"/>
          <w:left w:val="none" w:sz="0" w:space="0" w:color="auto"/>
          <w:bottom w:val="single" w:sz="4" w:space="0" w:color="auto"/>
          <w:right w:val="none" w:sz="0" w:space="0" w:color="auto"/>
          <w:insideH w:val="single" w:sz="4" w:space="0" w:color="auto"/>
          <w:insideV w:val="none" w:sz="0" w:space="0" w:color="auto"/>
        </w:tblBorders>
        <w:tblLook w:val="04A0" w:firstRow="1" w:lastRow="0" w:firstColumn="1" w:lastColumn="0" w:noHBand="0" w:noVBand="1"/>
      </w:tblPr>
      <w:tblGrid>
        <w:gridCol w:w="4788"/>
        <w:gridCol w:w="4788"/>
      </w:tblGrid>
      <w:tr w:rsidR="007E2E70" w14:paraId="07C20769" w14:textId="77777777" w:rsidTr="007E2E70">
        <w:tc>
          <w:tcPr>
            <w:tcW w:w="4788" w:type="dxa"/>
            <w:tcBorders>
              <w:top w:val="nil"/>
              <w:left w:val="nil"/>
              <w:bottom w:val="single" w:sz="4" w:space="0" w:color="auto"/>
              <w:right w:val="nil"/>
            </w:tcBorders>
          </w:tcPr>
          <w:p w14:paraId="52782BA2" w14:textId="77777777" w:rsidR="007E2E70" w:rsidRDefault="007E2E70">
            <w:pPr>
              <w:spacing w:line="240" w:lineRule="auto"/>
              <w:rPr>
                <w:rFonts w:eastAsia="Calibri"/>
              </w:rPr>
            </w:pPr>
          </w:p>
        </w:tc>
        <w:tc>
          <w:tcPr>
            <w:tcW w:w="4788" w:type="dxa"/>
            <w:tcBorders>
              <w:top w:val="nil"/>
              <w:left w:val="nil"/>
              <w:bottom w:val="single" w:sz="4" w:space="0" w:color="auto"/>
              <w:right w:val="nil"/>
            </w:tcBorders>
          </w:tcPr>
          <w:p w14:paraId="672ED74A" w14:textId="77777777" w:rsidR="007E2E70" w:rsidRDefault="007E2E70">
            <w:pPr>
              <w:spacing w:line="240" w:lineRule="auto"/>
              <w:rPr>
                <w:rFonts w:eastAsia="Calibri"/>
              </w:rPr>
            </w:pPr>
          </w:p>
          <w:p w14:paraId="0B06323D" w14:textId="77777777" w:rsidR="007E2E70" w:rsidRDefault="007E2E70">
            <w:pPr>
              <w:spacing w:line="240" w:lineRule="auto"/>
              <w:jc w:val="right"/>
              <w:rPr>
                <w:rFonts w:eastAsia="Calibri"/>
              </w:rPr>
            </w:pPr>
          </w:p>
        </w:tc>
      </w:tr>
      <w:tr w:rsidR="007E2E70" w14:paraId="577CD2E6" w14:textId="77777777" w:rsidTr="007E2E70">
        <w:tc>
          <w:tcPr>
            <w:tcW w:w="4788" w:type="dxa"/>
            <w:tcBorders>
              <w:top w:val="single" w:sz="4" w:space="0" w:color="auto"/>
              <w:left w:val="nil"/>
              <w:bottom w:val="single" w:sz="4" w:space="0" w:color="auto"/>
              <w:right w:val="nil"/>
            </w:tcBorders>
          </w:tcPr>
          <w:p w14:paraId="39A2F1EE" w14:textId="77777777" w:rsidR="007E2E70" w:rsidRDefault="007E2E70">
            <w:pPr>
              <w:spacing w:line="240" w:lineRule="auto"/>
              <w:rPr>
                <w:rFonts w:eastAsia="Calibri"/>
              </w:rPr>
            </w:pPr>
          </w:p>
          <w:p w14:paraId="3B280670" w14:textId="77777777" w:rsidR="007E2E70" w:rsidRDefault="007E2E70">
            <w:pPr>
              <w:spacing w:line="240" w:lineRule="auto"/>
              <w:rPr>
                <w:rFonts w:eastAsia="Calibri"/>
              </w:rPr>
            </w:pPr>
            <w:r>
              <w:rPr>
                <w:rFonts w:eastAsia="Calibri"/>
              </w:rPr>
              <w:t>OGS TV, INC.</w:t>
            </w:r>
          </w:p>
          <w:p w14:paraId="098BBB67" w14:textId="77777777" w:rsidR="007E2E70" w:rsidRDefault="007E2E70">
            <w:pPr>
              <w:spacing w:line="240" w:lineRule="auto"/>
              <w:rPr>
                <w:rFonts w:eastAsia="Calibri"/>
              </w:rPr>
            </w:pPr>
          </w:p>
          <w:p w14:paraId="50A1012F" w14:textId="77777777" w:rsidR="007E2E70" w:rsidRDefault="007E2E70">
            <w:pPr>
              <w:spacing w:line="240" w:lineRule="auto"/>
              <w:ind w:left="2880"/>
              <w:rPr>
                <w:rFonts w:eastAsia="Calibri"/>
              </w:rPr>
            </w:pPr>
            <w:r>
              <w:rPr>
                <w:rFonts w:eastAsia="Calibri"/>
              </w:rPr>
              <w:t>Plaintiff,</w:t>
            </w:r>
          </w:p>
          <w:p w14:paraId="4BB74CB4" w14:textId="77777777" w:rsidR="007E2E70" w:rsidRDefault="007E2E70">
            <w:pPr>
              <w:spacing w:line="240" w:lineRule="auto"/>
              <w:rPr>
                <w:rFonts w:eastAsia="Calibri"/>
              </w:rPr>
            </w:pPr>
          </w:p>
          <w:p w14:paraId="52066D0E" w14:textId="77777777" w:rsidR="007E2E70" w:rsidRDefault="007E2E70">
            <w:pPr>
              <w:spacing w:line="240" w:lineRule="auto"/>
              <w:rPr>
                <w:rFonts w:eastAsia="Calibri"/>
              </w:rPr>
            </w:pPr>
            <w:r>
              <w:rPr>
                <w:rFonts w:eastAsia="Calibri"/>
              </w:rPr>
              <w:t>vs.</w:t>
            </w:r>
          </w:p>
          <w:p w14:paraId="5B929FDB" w14:textId="77777777" w:rsidR="007E2E70" w:rsidRDefault="007E2E70">
            <w:pPr>
              <w:spacing w:line="240" w:lineRule="auto"/>
              <w:rPr>
                <w:rFonts w:eastAsia="Calibri"/>
              </w:rPr>
            </w:pPr>
          </w:p>
          <w:p w14:paraId="230B725F" w14:textId="77777777" w:rsidR="007E2E70" w:rsidRDefault="007E2E70">
            <w:pPr>
              <w:spacing w:line="240" w:lineRule="auto"/>
              <w:rPr>
                <w:rFonts w:eastAsia="Calibri"/>
              </w:rPr>
            </w:pPr>
            <w:bookmarkStart w:id="0" w:name="OLE_LINK97"/>
            <w:bookmarkStart w:id="1" w:name="OLE_LINK98"/>
            <w:r>
              <w:rPr>
                <w:rFonts w:eastAsia="Calibri"/>
              </w:rPr>
              <w:t xml:space="preserve">Elizabeth Lime, and </w:t>
            </w:r>
            <w:proofErr w:type="spellStart"/>
            <w:r>
              <w:rPr>
                <w:rFonts w:eastAsia="Calibri"/>
              </w:rPr>
              <w:t>TinyTV</w:t>
            </w:r>
            <w:proofErr w:type="spellEnd"/>
            <w:r>
              <w:rPr>
                <w:rFonts w:eastAsia="Calibri"/>
              </w:rPr>
              <w:t>, Inc.</w:t>
            </w:r>
          </w:p>
          <w:bookmarkEnd w:id="0"/>
          <w:bookmarkEnd w:id="1"/>
          <w:p w14:paraId="092F69E0" w14:textId="77777777" w:rsidR="007E2E70" w:rsidRDefault="007E2E70">
            <w:pPr>
              <w:spacing w:line="240" w:lineRule="auto"/>
              <w:rPr>
                <w:rFonts w:eastAsia="Calibri"/>
              </w:rPr>
            </w:pPr>
          </w:p>
          <w:p w14:paraId="7AFD7529" w14:textId="77777777" w:rsidR="007E2E70" w:rsidRDefault="007E2E70">
            <w:pPr>
              <w:spacing w:line="240" w:lineRule="auto"/>
              <w:ind w:left="2880"/>
              <w:rPr>
                <w:rFonts w:eastAsia="Calibri"/>
              </w:rPr>
            </w:pPr>
            <w:r>
              <w:rPr>
                <w:rFonts w:eastAsia="Calibri"/>
              </w:rPr>
              <w:t>Defendants.</w:t>
            </w:r>
          </w:p>
          <w:p w14:paraId="6884AE56" w14:textId="77777777" w:rsidR="007E2E70" w:rsidRDefault="007E2E70">
            <w:pPr>
              <w:spacing w:line="240" w:lineRule="auto"/>
              <w:rPr>
                <w:rFonts w:eastAsia="Calibri"/>
              </w:rPr>
            </w:pPr>
          </w:p>
        </w:tc>
        <w:tc>
          <w:tcPr>
            <w:tcW w:w="4788" w:type="dxa"/>
            <w:tcBorders>
              <w:top w:val="single" w:sz="4" w:space="0" w:color="auto"/>
              <w:left w:val="nil"/>
              <w:bottom w:val="single" w:sz="4" w:space="0" w:color="auto"/>
              <w:right w:val="nil"/>
            </w:tcBorders>
            <w:vAlign w:val="center"/>
          </w:tcPr>
          <w:p w14:paraId="4521109A" w14:textId="77777777" w:rsidR="007E2E70" w:rsidRDefault="007E2E70">
            <w:pPr>
              <w:spacing w:line="240" w:lineRule="auto"/>
              <w:jc w:val="right"/>
              <w:rPr>
                <w:rFonts w:eastAsia="Calibri"/>
              </w:rPr>
            </w:pPr>
            <w:r>
              <w:rPr>
                <w:rFonts w:eastAsia="Calibri"/>
              </w:rPr>
              <w:t>Court File No. 27-CV-12-1234</w:t>
            </w:r>
          </w:p>
          <w:p w14:paraId="2086CB59" w14:textId="77777777" w:rsidR="007E2E70" w:rsidRDefault="007E2E70">
            <w:pPr>
              <w:spacing w:line="240" w:lineRule="auto"/>
              <w:jc w:val="right"/>
              <w:rPr>
                <w:rFonts w:eastAsia="Calibri"/>
              </w:rPr>
            </w:pPr>
          </w:p>
          <w:p w14:paraId="6E33E248" w14:textId="77777777" w:rsidR="007E2E70" w:rsidRDefault="00722E89" w:rsidP="00722E89">
            <w:pPr>
              <w:spacing w:line="240" w:lineRule="auto"/>
              <w:ind w:right="480"/>
              <w:jc w:val="right"/>
              <w:rPr>
                <w:rFonts w:eastAsia="Calibri"/>
                <w:b/>
              </w:rPr>
            </w:pPr>
            <w:r>
              <w:rPr>
                <w:rFonts w:eastAsia="Calibri"/>
                <w:b/>
              </w:rPr>
              <w:t xml:space="preserve">                        </w:t>
            </w:r>
            <w:r w:rsidR="007E2E70">
              <w:rPr>
                <w:rFonts w:eastAsia="Calibri"/>
                <w:b/>
              </w:rPr>
              <w:t xml:space="preserve"> DEFENDANT’S</w:t>
            </w:r>
            <w:r>
              <w:rPr>
                <w:rFonts w:eastAsia="Calibri"/>
                <w:b/>
              </w:rPr>
              <w:t xml:space="preserve"> COURT BREIF </w:t>
            </w:r>
          </w:p>
        </w:tc>
      </w:tr>
    </w:tbl>
    <w:p w14:paraId="6AB3AD60" w14:textId="77777777" w:rsidR="007E2E70" w:rsidRDefault="007E2E70" w:rsidP="007E2E70">
      <w:pPr>
        <w:spacing w:line="240" w:lineRule="auto"/>
        <w:ind w:left="107"/>
        <w:rPr>
          <w:rFonts w:eastAsia="Times New Roman" w:cs="Times New Roman"/>
          <w:szCs w:val="24"/>
        </w:rPr>
      </w:pPr>
      <w:r>
        <w:rPr>
          <w:rFonts w:eastAsia="Times New Roman" w:cs="Times New Roman"/>
          <w:szCs w:val="24"/>
        </w:rPr>
        <w:t> </w:t>
      </w:r>
    </w:p>
    <w:p w14:paraId="0A0F2454" w14:textId="77777777" w:rsidR="007E2E70" w:rsidRDefault="007E2E70" w:rsidP="007E2E70">
      <w:pPr>
        <w:spacing w:line="240" w:lineRule="auto"/>
        <w:ind w:left="107"/>
        <w:rPr>
          <w:rFonts w:eastAsia="Times New Roman" w:cs="Times New Roman"/>
          <w:szCs w:val="24"/>
        </w:rPr>
      </w:pPr>
    </w:p>
    <w:p w14:paraId="01F165F0" w14:textId="77777777" w:rsidR="00D218B0" w:rsidRDefault="007E2E70" w:rsidP="007E2E70">
      <w:pPr>
        <w:jc w:val="center"/>
        <w:rPr>
          <w:rFonts w:eastAsia="Times New Roman" w:cs="Times New Roman"/>
          <w:b/>
          <w:szCs w:val="24"/>
          <w:u w:val="single"/>
        </w:rPr>
      </w:pPr>
      <w:r w:rsidRPr="007E2E70">
        <w:rPr>
          <w:rFonts w:eastAsia="Times New Roman" w:cs="Times New Roman"/>
          <w:b/>
          <w:szCs w:val="24"/>
          <w:u w:val="single"/>
        </w:rPr>
        <w:t>INTRODUCTION</w:t>
      </w:r>
    </w:p>
    <w:p w14:paraId="24E05D3D" w14:textId="77777777" w:rsidR="007F45C1" w:rsidRDefault="00722E89" w:rsidP="00D5227E">
      <w:pPr>
        <w:tabs>
          <w:tab w:val="left" w:pos="435"/>
        </w:tabs>
        <w:ind w:firstLine="720"/>
        <w:jc w:val="both"/>
        <w:rPr>
          <w:rFonts w:eastAsia="Times New Roman" w:cs="Times New Roman"/>
          <w:szCs w:val="24"/>
        </w:rPr>
      </w:pPr>
      <w:r>
        <w:rPr>
          <w:rFonts w:eastAsia="Times New Roman" w:cs="Times New Roman"/>
          <w:szCs w:val="24"/>
        </w:rPr>
        <w:t xml:space="preserve">Defendants, Elizabeth Lime, and Tiny TV, Inc., submit this Court Brief </w:t>
      </w:r>
      <w:r w:rsidR="007F45C1">
        <w:rPr>
          <w:rFonts w:eastAsia="Times New Roman" w:cs="Times New Roman"/>
          <w:szCs w:val="24"/>
        </w:rPr>
        <w:t>in support</w:t>
      </w:r>
      <w:r w:rsidR="007F45C1" w:rsidRPr="007F45C1">
        <w:rPr>
          <w:rFonts w:cs="Times New Roman"/>
          <w:szCs w:val="24"/>
        </w:rPr>
        <w:t xml:space="preserve"> </w:t>
      </w:r>
      <w:r w:rsidR="007F45C1">
        <w:rPr>
          <w:rFonts w:cs="Times New Roman"/>
          <w:szCs w:val="24"/>
        </w:rPr>
        <w:t xml:space="preserve">of their 12(b)(6) Motion to Dismiss Plaintiff’s Complaint under </w:t>
      </w:r>
      <w:bookmarkStart w:id="2" w:name="OLE_LINK7"/>
      <w:r w:rsidR="007F45C1">
        <w:rPr>
          <w:rFonts w:cs="Times New Roman"/>
          <w:szCs w:val="24"/>
        </w:rPr>
        <w:t>Federal R. Civ. P. 12(b)(6</w:t>
      </w:r>
      <w:bookmarkEnd w:id="2"/>
      <w:r w:rsidR="007F45C1">
        <w:rPr>
          <w:rFonts w:cs="Times New Roman"/>
          <w:szCs w:val="24"/>
        </w:rPr>
        <w:t>).</w:t>
      </w:r>
    </w:p>
    <w:p w14:paraId="4E65B7B7" w14:textId="77777777" w:rsidR="00722E89" w:rsidRPr="007E2E70" w:rsidRDefault="00633036" w:rsidP="00D5227E">
      <w:pPr>
        <w:tabs>
          <w:tab w:val="left" w:pos="435"/>
        </w:tabs>
        <w:ind w:firstLine="720"/>
        <w:jc w:val="both"/>
        <w:rPr>
          <w:rFonts w:eastAsia="Times New Roman" w:cs="Times New Roman"/>
          <w:szCs w:val="24"/>
        </w:rPr>
      </w:pPr>
      <w:bookmarkStart w:id="3" w:name="OLE_LINK8"/>
      <w:bookmarkStart w:id="4" w:name="OLE_LINK9"/>
      <w:r>
        <w:rPr>
          <w:rFonts w:eastAsia="Times New Roman" w:cs="Times New Roman"/>
          <w:szCs w:val="24"/>
        </w:rPr>
        <w:t xml:space="preserve">Plaintiff OGS TV, Inc. </w:t>
      </w:r>
      <w:bookmarkEnd w:id="3"/>
      <w:bookmarkEnd w:id="4"/>
      <w:r>
        <w:rPr>
          <w:rFonts w:eastAsia="Times New Roman" w:cs="Times New Roman"/>
          <w:szCs w:val="24"/>
        </w:rPr>
        <w:t>a</w:t>
      </w:r>
      <w:r w:rsidR="007F45C1">
        <w:rPr>
          <w:rFonts w:eastAsia="Times New Roman" w:cs="Times New Roman"/>
          <w:szCs w:val="24"/>
        </w:rPr>
        <w:t>lleges</w:t>
      </w:r>
      <w:r w:rsidR="008A3461">
        <w:rPr>
          <w:rFonts w:eastAsia="Times New Roman" w:cs="Times New Roman"/>
          <w:szCs w:val="24"/>
        </w:rPr>
        <w:t xml:space="preserve"> that</w:t>
      </w:r>
      <w:r w:rsidR="004549BE">
        <w:rPr>
          <w:rFonts w:eastAsia="Times New Roman" w:cs="Times New Roman"/>
          <w:szCs w:val="24"/>
        </w:rPr>
        <w:t xml:space="preserve"> D</w:t>
      </w:r>
      <w:r>
        <w:rPr>
          <w:rFonts w:eastAsia="Times New Roman" w:cs="Times New Roman"/>
          <w:szCs w:val="24"/>
        </w:rPr>
        <w:t>efendants had</w:t>
      </w:r>
      <w:r w:rsidR="008A3461">
        <w:rPr>
          <w:rFonts w:eastAsia="Times New Roman" w:cs="Times New Roman"/>
          <w:szCs w:val="24"/>
        </w:rPr>
        <w:t xml:space="preserve"> violated</w:t>
      </w:r>
      <w:r w:rsidR="004549BE">
        <w:rPr>
          <w:rFonts w:eastAsia="Times New Roman" w:cs="Times New Roman"/>
          <w:szCs w:val="24"/>
        </w:rPr>
        <w:t xml:space="preserve"> the </w:t>
      </w:r>
      <w:r w:rsidR="004549BE">
        <w:rPr>
          <w:rFonts w:cs="Times New Roman"/>
          <w:szCs w:val="24"/>
        </w:rPr>
        <w:t>federal Copyright Act,</w:t>
      </w:r>
      <w:r w:rsidR="008A3461">
        <w:rPr>
          <w:rFonts w:eastAsia="Times New Roman" w:cs="Times New Roman"/>
          <w:szCs w:val="24"/>
        </w:rPr>
        <w:t xml:space="preserve"> </w:t>
      </w:r>
      <w:bookmarkStart w:id="5" w:name="OLE_LINK3"/>
      <w:bookmarkStart w:id="6" w:name="OLE_LINK4"/>
      <w:r w:rsidR="007F45C1">
        <w:rPr>
          <w:rFonts w:eastAsia="Times New Roman" w:cs="Times New Roman"/>
          <w:szCs w:val="24"/>
        </w:rPr>
        <w:t xml:space="preserve">17 U.S.C. </w:t>
      </w:r>
      <w:bookmarkStart w:id="7" w:name="OLE_LINK48"/>
      <w:bookmarkStart w:id="8" w:name="OLE_LINK49"/>
      <w:bookmarkStart w:id="9" w:name="OLE_LINK46"/>
      <w:bookmarkStart w:id="10" w:name="OLE_LINK47"/>
      <w:r w:rsidR="007F45C1">
        <w:rPr>
          <w:rFonts w:eastAsia="Times New Roman" w:cs="Times New Roman"/>
          <w:szCs w:val="24"/>
        </w:rPr>
        <w:t>§</w:t>
      </w:r>
      <w:bookmarkEnd w:id="7"/>
      <w:bookmarkEnd w:id="8"/>
      <w:r w:rsidR="007F45C1">
        <w:rPr>
          <w:rFonts w:eastAsia="Times New Roman" w:cs="Times New Roman"/>
          <w:szCs w:val="24"/>
        </w:rPr>
        <w:t xml:space="preserve"> </w:t>
      </w:r>
      <w:r>
        <w:rPr>
          <w:rFonts w:eastAsia="Times New Roman" w:cs="Times New Roman"/>
          <w:szCs w:val="24"/>
        </w:rPr>
        <w:t>101</w:t>
      </w:r>
      <w:bookmarkEnd w:id="5"/>
      <w:bookmarkEnd w:id="6"/>
      <w:bookmarkEnd w:id="9"/>
      <w:bookmarkEnd w:id="10"/>
      <w:r w:rsidR="004549BE">
        <w:rPr>
          <w:rFonts w:eastAsia="Times New Roman" w:cs="Times New Roman"/>
          <w:szCs w:val="24"/>
        </w:rPr>
        <w:t>(2006</w:t>
      </w:r>
      <w:r w:rsidR="007F45C1">
        <w:rPr>
          <w:rFonts w:eastAsia="Times New Roman" w:cs="Times New Roman"/>
          <w:szCs w:val="24"/>
        </w:rPr>
        <w:t xml:space="preserve">). The plain language, purpose of the legislative scheme, and legislative history indicates </w:t>
      </w:r>
      <w:r w:rsidR="007F6256">
        <w:rPr>
          <w:rFonts w:eastAsia="Times New Roman" w:cs="Times New Roman"/>
          <w:szCs w:val="24"/>
        </w:rPr>
        <w:t xml:space="preserve">Defendants’ conduct did not constitute any violation of </w:t>
      </w:r>
      <w:r w:rsidR="007F45C1">
        <w:rPr>
          <w:rFonts w:eastAsia="Times New Roman" w:cs="Times New Roman"/>
          <w:szCs w:val="24"/>
        </w:rPr>
        <w:t xml:space="preserve">17 U.S.C. </w:t>
      </w:r>
      <w:bookmarkStart w:id="11" w:name="OLE_LINK5"/>
      <w:bookmarkStart w:id="12" w:name="OLE_LINK6"/>
      <w:r w:rsidR="007F45C1">
        <w:rPr>
          <w:rFonts w:eastAsia="Times New Roman" w:cs="Times New Roman"/>
          <w:szCs w:val="24"/>
        </w:rPr>
        <w:t>§</w:t>
      </w:r>
      <w:bookmarkEnd w:id="11"/>
      <w:bookmarkEnd w:id="12"/>
      <w:r w:rsidR="007F45C1">
        <w:rPr>
          <w:rFonts w:eastAsia="Times New Roman" w:cs="Times New Roman"/>
          <w:szCs w:val="24"/>
        </w:rPr>
        <w:t xml:space="preserve"> 101. The rights allegedly violated are not enforceable under </w:t>
      </w:r>
      <w:bookmarkStart w:id="13" w:name="OLE_LINK53"/>
      <w:bookmarkStart w:id="14" w:name="OLE_LINK54"/>
      <w:r w:rsidR="007F45C1">
        <w:rPr>
          <w:rFonts w:eastAsia="Times New Roman" w:cs="Times New Roman"/>
          <w:szCs w:val="24"/>
        </w:rPr>
        <w:t>§ 101</w:t>
      </w:r>
      <w:bookmarkEnd w:id="13"/>
      <w:bookmarkEnd w:id="14"/>
      <w:r w:rsidR="007F45C1">
        <w:rPr>
          <w:rFonts w:eastAsia="Times New Roman" w:cs="Times New Roman"/>
          <w:szCs w:val="24"/>
        </w:rPr>
        <w:t xml:space="preserve">. </w:t>
      </w:r>
      <w:r w:rsidR="007F6256">
        <w:rPr>
          <w:rFonts w:eastAsia="Times New Roman" w:cs="Times New Roman"/>
          <w:szCs w:val="24"/>
        </w:rPr>
        <w:t xml:space="preserve">Accordingly, </w:t>
      </w:r>
      <w:r w:rsidR="007F6256">
        <w:rPr>
          <w:rFonts w:cs="Times New Roman"/>
          <w:szCs w:val="24"/>
        </w:rPr>
        <w:t xml:space="preserve">the court should dismiss </w:t>
      </w:r>
      <w:proofErr w:type="gramStart"/>
      <w:r w:rsidR="007F6256">
        <w:rPr>
          <w:rFonts w:cs="Times New Roman"/>
          <w:szCs w:val="24"/>
        </w:rPr>
        <w:t>all</w:t>
      </w:r>
      <w:proofErr w:type="gramEnd"/>
      <w:r w:rsidR="007F6256">
        <w:rPr>
          <w:rFonts w:cs="Times New Roman"/>
          <w:szCs w:val="24"/>
        </w:rPr>
        <w:t xml:space="preserve"> of Plaintiff’s claims against Defendants</w:t>
      </w:r>
      <w:r w:rsidR="007F6256">
        <w:rPr>
          <w:rFonts w:eastAsia="Times New Roman" w:cs="Times New Roman"/>
          <w:szCs w:val="24"/>
        </w:rPr>
        <w:t>, since Plaintiff</w:t>
      </w:r>
      <w:r w:rsidR="00683E42">
        <w:rPr>
          <w:rFonts w:eastAsia="Times New Roman" w:cs="Times New Roman"/>
          <w:szCs w:val="24"/>
        </w:rPr>
        <w:t xml:space="preserve"> failed to state a claim </w:t>
      </w:r>
      <w:r w:rsidR="007F6256">
        <w:rPr>
          <w:rFonts w:eastAsia="Times New Roman" w:cs="Times New Roman"/>
          <w:szCs w:val="24"/>
        </w:rPr>
        <w:t xml:space="preserve">on which relief can be granted. </w:t>
      </w:r>
      <w:bookmarkStart w:id="15" w:name="OLE_LINK99"/>
      <w:bookmarkStart w:id="16" w:name="OLE_LINK100"/>
      <w:bookmarkStart w:id="17" w:name="OLE_LINK11"/>
      <w:r w:rsidR="007F6256">
        <w:rPr>
          <w:rFonts w:cs="Times New Roman"/>
          <w:szCs w:val="24"/>
        </w:rPr>
        <w:t>Federal R. Civ. P. 12(b)(6)</w:t>
      </w:r>
      <w:bookmarkEnd w:id="15"/>
      <w:bookmarkEnd w:id="16"/>
      <w:bookmarkEnd w:id="17"/>
    </w:p>
    <w:p w14:paraId="2F45CE0F" w14:textId="77777777" w:rsidR="007E2E70" w:rsidRPr="007E2E70" w:rsidRDefault="007E2E70" w:rsidP="007E2E70">
      <w:pPr>
        <w:jc w:val="center"/>
        <w:rPr>
          <w:rFonts w:eastAsia="Times New Roman" w:cs="Times New Roman"/>
          <w:b/>
          <w:szCs w:val="24"/>
          <w:u w:val="single"/>
        </w:rPr>
      </w:pPr>
    </w:p>
    <w:p w14:paraId="23FEE27A" w14:textId="77777777" w:rsidR="00722E89" w:rsidRPr="007F6256" w:rsidRDefault="007F6256" w:rsidP="007E2E70">
      <w:pPr>
        <w:jc w:val="center"/>
        <w:rPr>
          <w:rFonts w:eastAsiaTheme="minorEastAsia" w:cs="Times New Roman"/>
          <w:b/>
          <w:szCs w:val="24"/>
          <w:u w:val="single"/>
          <w:lang w:eastAsia="zh-CN"/>
        </w:rPr>
      </w:pPr>
      <w:r>
        <w:rPr>
          <w:rFonts w:eastAsia="Times New Roman" w:cs="Times New Roman"/>
          <w:b/>
          <w:szCs w:val="24"/>
          <w:u w:val="single"/>
        </w:rPr>
        <w:t>FACTS</w:t>
      </w:r>
    </w:p>
    <w:p w14:paraId="044331AC" w14:textId="77777777" w:rsidR="00D5227E" w:rsidRDefault="00D5227E" w:rsidP="00D5227E">
      <w:pPr>
        <w:pStyle w:val="NoSpacing"/>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Plaintiff has alleged the following facts:</w:t>
      </w:r>
    </w:p>
    <w:p w14:paraId="20D554AD" w14:textId="77777777" w:rsidR="007E2E70" w:rsidRDefault="004872C6" w:rsidP="00D5227E">
      <w:pPr>
        <w:ind w:firstLine="720"/>
        <w:jc w:val="both"/>
        <w:rPr>
          <w:rFonts w:eastAsia="Times New Roman" w:cs="Times New Roman"/>
          <w:szCs w:val="24"/>
        </w:rPr>
      </w:pPr>
      <w:r>
        <w:rPr>
          <w:rFonts w:eastAsia="Times New Roman" w:cs="Times New Roman"/>
          <w:szCs w:val="24"/>
        </w:rPr>
        <w:t xml:space="preserve">Plaintiff OGS TV, Inc. </w:t>
      </w:r>
      <w:r>
        <w:t xml:space="preserve">has created, produced, and aired an original television series entitled </w:t>
      </w:r>
      <w:r>
        <w:rPr>
          <w:i/>
        </w:rPr>
        <w:t>Lawless Love</w:t>
      </w:r>
      <w:r w:rsidR="00B2562E">
        <w:t xml:space="preserve"> for which Plaintiff hired eight writers as regular employees to prepare the </w:t>
      </w:r>
      <w:r w:rsidR="00B2562E">
        <w:lastRenderedPageBreak/>
        <w:t>screenplays (</w:t>
      </w:r>
      <w:bookmarkStart w:id="18" w:name="OLE_LINK51"/>
      <w:bookmarkStart w:id="19" w:name="OLE_LINK52"/>
      <w:proofErr w:type="spellStart"/>
      <w:r w:rsidR="00B2562E">
        <w:rPr>
          <w:rFonts w:cs="Times New Roman"/>
          <w:szCs w:val="24"/>
        </w:rPr>
        <w:t>Compl</w:t>
      </w:r>
      <w:proofErr w:type="spellEnd"/>
      <w:r w:rsidR="00B2562E">
        <w:rPr>
          <w:rFonts w:cs="Times New Roman"/>
          <w:szCs w:val="24"/>
        </w:rPr>
        <w:t>. ¶ 5</w:t>
      </w:r>
      <w:bookmarkEnd w:id="18"/>
      <w:bookmarkEnd w:id="19"/>
      <w:r w:rsidR="00B2562E">
        <w:t>).</w:t>
      </w:r>
      <w:r w:rsidR="00683E42">
        <w:rPr>
          <w:rFonts w:eastAsia="Times New Roman" w:cs="Times New Roman"/>
          <w:szCs w:val="24"/>
        </w:rPr>
        <w:t xml:space="preserve"> </w:t>
      </w:r>
      <w:r w:rsidR="00460E49">
        <w:t xml:space="preserve">Plaintiff is the author of every episode of </w:t>
      </w:r>
      <w:r w:rsidR="00460E49">
        <w:rPr>
          <w:i/>
        </w:rPr>
        <w:t>Lawless Love</w:t>
      </w:r>
      <w:r w:rsidR="00460E49">
        <w:t xml:space="preserve"> created prior to April 2, 2010 (</w:t>
      </w:r>
      <w:bookmarkStart w:id="20" w:name="OLE_LINK22"/>
      <w:bookmarkStart w:id="21" w:name="OLE_LINK23"/>
      <w:bookmarkStart w:id="22" w:name="OLE_LINK24"/>
      <w:r w:rsidR="00460E49">
        <w:rPr>
          <w:rFonts w:cs="Times New Roman"/>
          <w:i/>
          <w:szCs w:val="24"/>
        </w:rPr>
        <w:t>Id</w:t>
      </w:r>
      <w:r w:rsidR="00460E49">
        <w:rPr>
          <w:rFonts w:cs="Times New Roman"/>
          <w:szCs w:val="24"/>
        </w:rPr>
        <w:t>. at</w:t>
      </w:r>
      <w:r w:rsidR="00460E49" w:rsidRPr="00240758">
        <w:rPr>
          <w:rFonts w:cs="Times New Roman"/>
          <w:szCs w:val="24"/>
        </w:rPr>
        <w:t xml:space="preserve"> </w:t>
      </w:r>
      <w:bookmarkEnd w:id="20"/>
      <w:bookmarkEnd w:id="21"/>
      <w:bookmarkEnd w:id="22"/>
      <w:r w:rsidR="00460E49">
        <w:rPr>
          <w:rFonts w:cs="Times New Roman"/>
          <w:szCs w:val="24"/>
        </w:rPr>
        <w:t>¶ 8</w:t>
      </w:r>
      <w:r w:rsidR="00460E49">
        <w:t xml:space="preserve">). </w:t>
      </w:r>
      <w:r w:rsidR="00AF36BB">
        <w:rPr>
          <w:rFonts w:eastAsia="Times New Roman" w:cs="Times New Roman"/>
          <w:szCs w:val="24"/>
        </w:rPr>
        <w:t>On March 27, 2010, Plaintiff</w:t>
      </w:r>
      <w:r w:rsidR="00683E42">
        <w:rPr>
          <w:rFonts w:eastAsia="Times New Roman" w:cs="Times New Roman"/>
          <w:szCs w:val="24"/>
        </w:rPr>
        <w:t xml:space="preserve"> contacted Defendant Elizabeth Lime </w:t>
      </w:r>
      <w:r w:rsidR="00AF36BB">
        <w:t xml:space="preserve">to specially commission from her a screenplay for one episode of </w:t>
      </w:r>
      <w:r w:rsidR="00AF36BB">
        <w:rPr>
          <w:i/>
        </w:rPr>
        <w:t>Lawless Love</w:t>
      </w:r>
      <w:r w:rsidR="00683E42">
        <w:rPr>
          <w:rFonts w:eastAsia="Times New Roman" w:cs="Times New Roman"/>
          <w:szCs w:val="24"/>
        </w:rPr>
        <w:t xml:space="preserve">. </w:t>
      </w:r>
      <w:r w:rsidR="00AF36BB">
        <w:rPr>
          <w:rFonts w:eastAsia="Times New Roman" w:cs="Times New Roman"/>
          <w:szCs w:val="24"/>
        </w:rPr>
        <w:t>Defendant L</w:t>
      </w:r>
      <w:r w:rsidR="00E52123">
        <w:rPr>
          <w:rFonts w:eastAsia="Times New Roman" w:cs="Times New Roman"/>
          <w:szCs w:val="24"/>
        </w:rPr>
        <w:t xml:space="preserve">ime was not Plaintiff’s employee and never wrote for </w:t>
      </w:r>
      <w:r w:rsidR="00AF36BB">
        <w:rPr>
          <w:rFonts w:eastAsia="Times New Roman" w:cs="Times New Roman"/>
          <w:szCs w:val="24"/>
        </w:rPr>
        <w:t>Plaintiff before March 27, 2010</w:t>
      </w:r>
      <w:r w:rsidR="00E52123">
        <w:rPr>
          <w:rFonts w:eastAsia="Times New Roman" w:cs="Times New Roman"/>
          <w:szCs w:val="24"/>
        </w:rPr>
        <w:t xml:space="preserve"> </w:t>
      </w:r>
      <w:r w:rsidR="00AF36BB">
        <w:rPr>
          <w:rFonts w:eastAsia="Times New Roman" w:cs="Times New Roman"/>
          <w:szCs w:val="24"/>
        </w:rPr>
        <w:t>(</w:t>
      </w:r>
      <w:r w:rsidR="00AF36BB">
        <w:rPr>
          <w:rFonts w:cs="Times New Roman"/>
          <w:i/>
          <w:szCs w:val="24"/>
        </w:rPr>
        <w:t>Id</w:t>
      </w:r>
      <w:r w:rsidR="00AF36BB">
        <w:rPr>
          <w:rFonts w:cs="Times New Roman"/>
          <w:szCs w:val="24"/>
        </w:rPr>
        <w:t>. at</w:t>
      </w:r>
      <w:r w:rsidR="00E52123" w:rsidRPr="00E52123">
        <w:rPr>
          <w:rFonts w:eastAsia="Times New Roman" w:cs="Times New Roman"/>
          <w:szCs w:val="24"/>
        </w:rPr>
        <w:t xml:space="preserve"> </w:t>
      </w:r>
      <w:r w:rsidR="00D9428F" w:rsidRPr="00E52123">
        <w:rPr>
          <w:rFonts w:eastAsia="Times New Roman" w:cs="Times New Roman"/>
          <w:szCs w:val="24"/>
        </w:rPr>
        <w:t>¶</w:t>
      </w:r>
      <w:r w:rsidR="00E52123" w:rsidRPr="00E52123">
        <w:rPr>
          <w:rFonts w:eastAsia="Times New Roman" w:cs="Times New Roman"/>
          <w:szCs w:val="24"/>
        </w:rPr>
        <w:t xml:space="preserve">¶ </w:t>
      </w:r>
      <w:r w:rsidR="00E52123">
        <w:rPr>
          <w:rFonts w:eastAsia="Times New Roman" w:cs="Times New Roman"/>
          <w:szCs w:val="24"/>
        </w:rPr>
        <w:t>9,</w:t>
      </w:r>
      <w:r w:rsidR="00AF36BB">
        <w:rPr>
          <w:rFonts w:eastAsia="Times New Roman" w:cs="Times New Roman"/>
          <w:szCs w:val="24"/>
        </w:rPr>
        <w:t xml:space="preserve"> </w:t>
      </w:r>
      <w:r w:rsidR="00E52123">
        <w:rPr>
          <w:rFonts w:eastAsia="Times New Roman" w:cs="Times New Roman"/>
          <w:szCs w:val="24"/>
        </w:rPr>
        <w:t>11</w:t>
      </w:r>
      <w:r w:rsidR="00AF36BB">
        <w:rPr>
          <w:rFonts w:eastAsia="Times New Roman" w:cs="Times New Roman"/>
          <w:szCs w:val="24"/>
        </w:rPr>
        <w:t>)</w:t>
      </w:r>
      <w:r w:rsidR="00E52123" w:rsidRPr="00E52123">
        <w:rPr>
          <w:rFonts w:eastAsia="Times New Roman" w:cs="Times New Roman"/>
          <w:szCs w:val="24"/>
        </w:rPr>
        <w:t>.</w:t>
      </w:r>
      <w:r w:rsidR="00E52123">
        <w:rPr>
          <w:rFonts w:eastAsia="Times New Roman" w:cs="Times New Roman"/>
          <w:szCs w:val="24"/>
        </w:rPr>
        <w:t xml:space="preserve"> During the meeting, </w:t>
      </w:r>
      <w:r w:rsidR="00AF36BB">
        <w:rPr>
          <w:rFonts w:eastAsia="Times New Roman" w:cs="Times New Roman"/>
          <w:szCs w:val="24"/>
        </w:rPr>
        <w:t>Plaintiff</w:t>
      </w:r>
      <w:r w:rsidR="00E52123">
        <w:rPr>
          <w:rFonts w:eastAsia="Times New Roman" w:cs="Times New Roman"/>
          <w:szCs w:val="24"/>
        </w:rPr>
        <w:t xml:space="preserve"> and Lime reached an oral a</w:t>
      </w:r>
      <w:r w:rsidR="00AF36BB">
        <w:rPr>
          <w:rFonts w:eastAsia="Times New Roman" w:cs="Times New Roman"/>
          <w:szCs w:val="24"/>
        </w:rPr>
        <w:t>greement that Lime would write the</w:t>
      </w:r>
      <w:r w:rsidR="00E52123">
        <w:rPr>
          <w:rFonts w:eastAsia="Times New Roman" w:cs="Times New Roman"/>
          <w:szCs w:val="24"/>
        </w:rPr>
        <w:t xml:space="preserve"> screenplay for Plaintiff</w:t>
      </w:r>
      <w:r w:rsidR="00AF36BB">
        <w:rPr>
          <w:rFonts w:eastAsia="Times New Roman" w:cs="Times New Roman"/>
          <w:szCs w:val="24"/>
        </w:rPr>
        <w:t>,</w:t>
      </w:r>
      <w:r w:rsidR="00E52123">
        <w:rPr>
          <w:rFonts w:eastAsia="Times New Roman" w:cs="Times New Roman"/>
          <w:szCs w:val="24"/>
        </w:rPr>
        <w:t xml:space="preserve"> and Plaintiff would pay her $6000</w:t>
      </w:r>
      <w:r w:rsidR="00AF36BB">
        <w:rPr>
          <w:rFonts w:eastAsia="Times New Roman" w:cs="Times New Roman"/>
          <w:szCs w:val="24"/>
        </w:rPr>
        <w:t xml:space="preserve"> </w:t>
      </w:r>
      <w:bookmarkStart w:id="23" w:name="OLE_LINK25"/>
      <w:bookmarkStart w:id="24" w:name="OLE_LINK26"/>
      <w:r w:rsidR="00AF36BB">
        <w:rPr>
          <w:rFonts w:eastAsia="Times New Roman" w:cs="Times New Roman"/>
          <w:szCs w:val="24"/>
        </w:rPr>
        <w:t>(</w:t>
      </w:r>
      <w:r w:rsidR="00AF36BB">
        <w:rPr>
          <w:rFonts w:cs="Times New Roman"/>
          <w:i/>
          <w:szCs w:val="24"/>
        </w:rPr>
        <w:t>Id</w:t>
      </w:r>
      <w:r w:rsidR="00AF36BB">
        <w:rPr>
          <w:rFonts w:cs="Times New Roman"/>
          <w:szCs w:val="24"/>
        </w:rPr>
        <w:t>. at</w:t>
      </w:r>
      <w:r w:rsidR="00E52123" w:rsidRPr="00E52123">
        <w:rPr>
          <w:rFonts w:eastAsia="Times New Roman" w:cs="Times New Roman"/>
          <w:szCs w:val="24"/>
        </w:rPr>
        <w:t xml:space="preserve"> </w:t>
      </w:r>
      <w:bookmarkEnd w:id="23"/>
      <w:bookmarkEnd w:id="24"/>
      <w:r w:rsidR="00D9428F" w:rsidRPr="00E52123">
        <w:rPr>
          <w:rFonts w:eastAsia="Times New Roman" w:cs="Times New Roman"/>
          <w:szCs w:val="24"/>
        </w:rPr>
        <w:t>¶</w:t>
      </w:r>
      <w:r w:rsidR="00E52123" w:rsidRPr="00E52123">
        <w:rPr>
          <w:rFonts w:eastAsia="Times New Roman" w:cs="Times New Roman"/>
          <w:szCs w:val="24"/>
        </w:rPr>
        <w:t>¶ 13</w:t>
      </w:r>
      <w:r w:rsidR="00E52123">
        <w:rPr>
          <w:rFonts w:eastAsia="Times New Roman" w:cs="Times New Roman"/>
          <w:szCs w:val="24"/>
        </w:rPr>
        <w:t>,</w:t>
      </w:r>
      <w:r w:rsidR="00AF36BB">
        <w:rPr>
          <w:rFonts w:eastAsia="Times New Roman" w:cs="Times New Roman"/>
          <w:szCs w:val="24"/>
        </w:rPr>
        <w:t xml:space="preserve"> </w:t>
      </w:r>
      <w:r w:rsidR="00E52123">
        <w:rPr>
          <w:rFonts w:eastAsia="Times New Roman" w:cs="Times New Roman"/>
          <w:szCs w:val="24"/>
        </w:rPr>
        <w:t>15</w:t>
      </w:r>
      <w:r w:rsidR="00AF36BB">
        <w:rPr>
          <w:rFonts w:eastAsia="Times New Roman" w:cs="Times New Roman"/>
          <w:szCs w:val="24"/>
        </w:rPr>
        <w:t>)</w:t>
      </w:r>
      <w:r w:rsidR="00E52123" w:rsidRPr="00E52123">
        <w:rPr>
          <w:rFonts w:eastAsia="Times New Roman" w:cs="Times New Roman"/>
          <w:szCs w:val="24"/>
        </w:rPr>
        <w:t>.</w:t>
      </w:r>
      <w:r w:rsidR="00E52123">
        <w:rPr>
          <w:rFonts w:eastAsia="Times New Roman" w:cs="Times New Roman"/>
          <w:szCs w:val="24"/>
        </w:rPr>
        <w:t xml:space="preserve"> During the meeting, Defendant Lime agreed that </w:t>
      </w:r>
      <w:r w:rsidR="00694DBA">
        <w:rPr>
          <w:rFonts w:eastAsia="Times New Roman" w:cs="Times New Roman"/>
          <w:szCs w:val="24"/>
        </w:rPr>
        <w:t>the screenplay she would write was a work made for hire, and Plaint</w:t>
      </w:r>
      <w:r w:rsidR="00D5227E">
        <w:rPr>
          <w:rFonts w:eastAsia="Times New Roman" w:cs="Times New Roman"/>
          <w:szCs w:val="24"/>
        </w:rPr>
        <w:t xml:space="preserve">iff OGS TV would be the author </w:t>
      </w:r>
      <w:bookmarkStart w:id="25" w:name="OLE_LINK27"/>
      <w:bookmarkStart w:id="26" w:name="OLE_LINK28"/>
      <w:bookmarkStart w:id="27" w:name="OLE_LINK29"/>
      <w:bookmarkStart w:id="28" w:name="OLE_LINK30"/>
      <w:r w:rsidR="00D5227E">
        <w:rPr>
          <w:rFonts w:eastAsia="Times New Roman" w:cs="Times New Roman"/>
          <w:szCs w:val="24"/>
        </w:rPr>
        <w:t>(</w:t>
      </w:r>
      <w:r w:rsidR="00D5227E">
        <w:rPr>
          <w:rFonts w:cs="Times New Roman"/>
          <w:i/>
          <w:szCs w:val="24"/>
        </w:rPr>
        <w:t>Id</w:t>
      </w:r>
      <w:r w:rsidR="00D5227E">
        <w:rPr>
          <w:rFonts w:cs="Times New Roman"/>
          <w:szCs w:val="24"/>
        </w:rPr>
        <w:t>. at</w:t>
      </w:r>
      <w:r w:rsidR="00D5227E">
        <w:rPr>
          <w:rFonts w:eastAsia="Times New Roman" w:cs="Times New Roman"/>
          <w:szCs w:val="24"/>
        </w:rPr>
        <w:t xml:space="preserve"> </w:t>
      </w:r>
      <w:bookmarkEnd w:id="25"/>
      <w:bookmarkEnd w:id="26"/>
      <w:r w:rsidR="00694DBA" w:rsidRPr="00694DBA">
        <w:rPr>
          <w:rFonts w:eastAsia="Times New Roman" w:cs="Times New Roman"/>
          <w:szCs w:val="24"/>
        </w:rPr>
        <w:t>¶</w:t>
      </w:r>
      <w:r w:rsidR="00D9428F">
        <w:rPr>
          <w:rFonts w:eastAsia="Times New Roman" w:cs="Times New Roman"/>
          <w:szCs w:val="24"/>
        </w:rPr>
        <w:t>¶</w:t>
      </w:r>
      <w:r w:rsidR="00694DBA" w:rsidRPr="00694DBA">
        <w:rPr>
          <w:rFonts w:eastAsia="Times New Roman" w:cs="Times New Roman"/>
          <w:szCs w:val="24"/>
        </w:rPr>
        <w:t xml:space="preserve"> </w:t>
      </w:r>
      <w:r w:rsidR="00694DBA">
        <w:rPr>
          <w:rFonts w:eastAsia="Times New Roman" w:cs="Times New Roman"/>
          <w:szCs w:val="24"/>
        </w:rPr>
        <w:t>16,</w:t>
      </w:r>
      <w:r w:rsidR="00D5227E">
        <w:rPr>
          <w:rFonts w:eastAsia="Times New Roman" w:cs="Times New Roman"/>
          <w:szCs w:val="24"/>
        </w:rPr>
        <w:t xml:space="preserve"> </w:t>
      </w:r>
      <w:r w:rsidR="00694DBA">
        <w:rPr>
          <w:rFonts w:eastAsia="Times New Roman" w:cs="Times New Roman"/>
          <w:szCs w:val="24"/>
        </w:rPr>
        <w:t>18</w:t>
      </w:r>
      <w:r w:rsidR="00D5227E">
        <w:rPr>
          <w:rFonts w:eastAsia="Times New Roman" w:cs="Times New Roman"/>
          <w:szCs w:val="24"/>
        </w:rPr>
        <w:t>)</w:t>
      </w:r>
      <w:bookmarkEnd w:id="27"/>
      <w:bookmarkEnd w:id="28"/>
      <w:r w:rsidR="00694DBA" w:rsidRPr="00694DBA">
        <w:rPr>
          <w:rFonts w:eastAsia="Times New Roman" w:cs="Times New Roman"/>
          <w:szCs w:val="24"/>
        </w:rPr>
        <w:t>.</w:t>
      </w:r>
      <w:r w:rsidR="00694DBA">
        <w:rPr>
          <w:rFonts w:eastAsia="Times New Roman" w:cs="Times New Roman"/>
          <w:szCs w:val="24"/>
        </w:rPr>
        <w:t xml:space="preserve"> No written agreement was reached or signed on that day. </w:t>
      </w:r>
    </w:p>
    <w:p w14:paraId="331E2560" w14:textId="77777777" w:rsidR="00694DBA" w:rsidRDefault="00694DBA" w:rsidP="00683E42">
      <w:pPr>
        <w:ind w:firstLine="720"/>
        <w:jc w:val="both"/>
        <w:rPr>
          <w:rFonts w:eastAsia="Times New Roman" w:cs="Times New Roman"/>
          <w:szCs w:val="24"/>
        </w:rPr>
      </w:pPr>
      <w:r>
        <w:rPr>
          <w:rFonts w:eastAsia="Times New Roman" w:cs="Times New Roman"/>
          <w:szCs w:val="24"/>
        </w:rPr>
        <w:t>On April 1, 2010, Defendant Lime submitted a screenplay enti</w:t>
      </w:r>
      <w:r w:rsidR="000B73C5">
        <w:rPr>
          <w:rFonts w:eastAsia="Times New Roman" w:cs="Times New Roman"/>
          <w:szCs w:val="24"/>
        </w:rPr>
        <w:t>tled, “Anticipatory Repudiation</w:t>
      </w:r>
      <w:r>
        <w:rPr>
          <w:rFonts w:eastAsia="Times New Roman" w:cs="Times New Roman"/>
          <w:szCs w:val="24"/>
        </w:rPr>
        <w:t xml:space="preserve">” </w:t>
      </w:r>
      <w:bookmarkStart w:id="29" w:name="OLE_LINK31"/>
      <w:bookmarkStart w:id="30" w:name="OLE_LINK32"/>
      <w:r w:rsidR="000B73C5">
        <w:rPr>
          <w:rFonts w:eastAsia="Times New Roman" w:cs="Times New Roman"/>
          <w:szCs w:val="24"/>
        </w:rPr>
        <w:t>(</w:t>
      </w:r>
      <w:r w:rsidR="000B73C5">
        <w:rPr>
          <w:rFonts w:cs="Times New Roman"/>
          <w:i/>
          <w:szCs w:val="24"/>
        </w:rPr>
        <w:t>Id</w:t>
      </w:r>
      <w:r w:rsidR="000B73C5">
        <w:rPr>
          <w:rFonts w:cs="Times New Roman"/>
          <w:szCs w:val="24"/>
        </w:rPr>
        <w:t>. at</w:t>
      </w:r>
      <w:r w:rsidR="000B73C5">
        <w:rPr>
          <w:rFonts w:eastAsia="Times New Roman" w:cs="Times New Roman"/>
          <w:szCs w:val="24"/>
        </w:rPr>
        <w:t xml:space="preserve"> </w:t>
      </w:r>
      <w:r w:rsidRPr="00694DBA">
        <w:rPr>
          <w:rFonts w:eastAsia="Times New Roman" w:cs="Times New Roman"/>
          <w:szCs w:val="24"/>
        </w:rPr>
        <w:t xml:space="preserve">¶ </w:t>
      </w:r>
      <w:r>
        <w:rPr>
          <w:rFonts w:eastAsia="Times New Roman" w:cs="Times New Roman"/>
          <w:szCs w:val="24"/>
        </w:rPr>
        <w:t>21</w:t>
      </w:r>
      <w:r w:rsidR="000B73C5">
        <w:rPr>
          <w:rFonts w:eastAsia="Times New Roman" w:cs="Times New Roman"/>
          <w:szCs w:val="24"/>
        </w:rPr>
        <w:t>).</w:t>
      </w:r>
      <w:r>
        <w:rPr>
          <w:rFonts w:eastAsia="Times New Roman" w:cs="Times New Roman"/>
          <w:szCs w:val="24"/>
        </w:rPr>
        <w:t xml:space="preserve"> </w:t>
      </w:r>
      <w:bookmarkEnd w:id="29"/>
      <w:bookmarkEnd w:id="30"/>
      <w:r w:rsidR="000B73C5">
        <w:rPr>
          <w:rFonts w:eastAsia="Times New Roman" w:cs="Times New Roman"/>
          <w:szCs w:val="24"/>
        </w:rPr>
        <w:t>The next day</w:t>
      </w:r>
      <w:r>
        <w:rPr>
          <w:rFonts w:eastAsia="Times New Roman" w:cs="Times New Roman"/>
          <w:szCs w:val="24"/>
        </w:rPr>
        <w:t>, Plaintiff secured the exclusive rights and privileges in and to the screenplay, “Anticipatory Repudiation” and received a certificate of registration from the Register of Copyrights</w:t>
      </w:r>
      <w:r w:rsidR="00846912">
        <w:rPr>
          <w:rFonts w:eastAsia="Times New Roman" w:cs="Times New Roman"/>
          <w:szCs w:val="24"/>
        </w:rPr>
        <w:t xml:space="preserve"> </w:t>
      </w:r>
      <w:bookmarkStart w:id="31" w:name="OLE_LINK1"/>
      <w:bookmarkStart w:id="32" w:name="OLE_LINK2"/>
      <w:bookmarkStart w:id="33" w:name="OLE_LINK33"/>
      <w:bookmarkStart w:id="34" w:name="OLE_LINK34"/>
      <w:bookmarkStart w:id="35" w:name="OLE_LINK35"/>
      <w:r w:rsidR="00846912">
        <w:rPr>
          <w:rFonts w:eastAsia="Times New Roman" w:cs="Times New Roman"/>
          <w:szCs w:val="24"/>
        </w:rPr>
        <w:t>(</w:t>
      </w:r>
      <w:r w:rsidR="00846912">
        <w:rPr>
          <w:rFonts w:cs="Times New Roman"/>
          <w:i/>
          <w:szCs w:val="24"/>
        </w:rPr>
        <w:t>Id</w:t>
      </w:r>
      <w:r w:rsidR="00846912">
        <w:rPr>
          <w:rFonts w:cs="Times New Roman"/>
          <w:szCs w:val="24"/>
        </w:rPr>
        <w:t>. at</w:t>
      </w:r>
      <w:r w:rsidR="00846912">
        <w:rPr>
          <w:rFonts w:eastAsia="Times New Roman" w:cs="Times New Roman"/>
          <w:szCs w:val="24"/>
        </w:rPr>
        <w:t xml:space="preserve"> ¶ 22)</w:t>
      </w:r>
      <w:bookmarkEnd w:id="31"/>
      <w:bookmarkEnd w:id="32"/>
      <w:r w:rsidRPr="00694DBA">
        <w:rPr>
          <w:rFonts w:eastAsia="Times New Roman" w:cs="Times New Roman"/>
          <w:szCs w:val="24"/>
        </w:rPr>
        <w:t>.</w:t>
      </w:r>
      <w:r>
        <w:rPr>
          <w:rFonts w:eastAsia="Times New Roman" w:cs="Times New Roman"/>
          <w:szCs w:val="24"/>
        </w:rPr>
        <w:t xml:space="preserve"> </w:t>
      </w:r>
      <w:bookmarkEnd w:id="33"/>
      <w:bookmarkEnd w:id="34"/>
      <w:bookmarkEnd w:id="35"/>
      <w:r>
        <w:rPr>
          <w:rFonts w:eastAsia="Times New Roman" w:cs="Times New Roman"/>
          <w:szCs w:val="24"/>
        </w:rPr>
        <w:t>On April 6, 2010, Defendant received the promised $6000 and signed a</w:t>
      </w:r>
      <w:r w:rsidR="00FF2238">
        <w:rPr>
          <w:rFonts w:eastAsia="Times New Roman" w:cs="Times New Roman"/>
          <w:szCs w:val="24"/>
        </w:rPr>
        <w:t>n agreement labeled by Plaintiff as</w:t>
      </w:r>
      <w:r>
        <w:rPr>
          <w:rFonts w:eastAsia="Times New Roman" w:cs="Times New Roman"/>
          <w:szCs w:val="24"/>
        </w:rPr>
        <w:t xml:space="preserve"> “work-made-for-hire agreement”</w:t>
      </w:r>
      <w:r w:rsidR="00A16942">
        <w:rPr>
          <w:rFonts w:eastAsia="Times New Roman" w:cs="Times New Roman"/>
          <w:szCs w:val="24"/>
        </w:rPr>
        <w:t xml:space="preserve"> (</w:t>
      </w:r>
      <w:r w:rsidR="00A16942">
        <w:rPr>
          <w:rFonts w:cs="Times New Roman"/>
          <w:i/>
          <w:szCs w:val="24"/>
        </w:rPr>
        <w:t>Id</w:t>
      </w:r>
      <w:r w:rsidR="00A16942">
        <w:rPr>
          <w:rFonts w:cs="Times New Roman"/>
          <w:szCs w:val="24"/>
        </w:rPr>
        <w:t>. at</w:t>
      </w:r>
      <w:r w:rsidR="00A16942">
        <w:rPr>
          <w:rFonts w:eastAsia="Times New Roman" w:cs="Times New Roman"/>
          <w:szCs w:val="24"/>
        </w:rPr>
        <w:t xml:space="preserve"> ¶ 24)</w:t>
      </w:r>
      <w:r>
        <w:rPr>
          <w:rFonts w:eastAsia="Times New Roman" w:cs="Times New Roman"/>
          <w:szCs w:val="24"/>
        </w:rPr>
        <w:t xml:space="preserve">. </w:t>
      </w:r>
      <w:r w:rsidR="00846912">
        <w:rPr>
          <w:rFonts w:eastAsia="Times New Roman" w:cs="Times New Roman"/>
          <w:szCs w:val="24"/>
        </w:rPr>
        <w:t>Plaintiff</w:t>
      </w:r>
      <w:r w:rsidR="00FF2238">
        <w:rPr>
          <w:rFonts w:eastAsia="Times New Roman" w:cs="Times New Roman"/>
          <w:szCs w:val="24"/>
        </w:rPr>
        <w:t xml:space="preserve"> signed it</w:t>
      </w:r>
      <w:r w:rsidR="009C0A2A">
        <w:rPr>
          <w:rFonts w:eastAsia="Times New Roman" w:cs="Times New Roman"/>
          <w:szCs w:val="24"/>
        </w:rPr>
        <w:t xml:space="preserve"> as well</w:t>
      </w:r>
      <w:r w:rsidR="00846912">
        <w:rPr>
          <w:rFonts w:eastAsia="Times New Roman" w:cs="Times New Roman"/>
          <w:szCs w:val="24"/>
        </w:rPr>
        <w:t xml:space="preserve"> (</w:t>
      </w:r>
      <w:r w:rsidR="00846912">
        <w:rPr>
          <w:rFonts w:cs="Times New Roman"/>
          <w:i/>
          <w:szCs w:val="24"/>
        </w:rPr>
        <w:t>Id</w:t>
      </w:r>
      <w:r w:rsidR="00846912">
        <w:rPr>
          <w:rFonts w:cs="Times New Roman"/>
          <w:szCs w:val="24"/>
        </w:rPr>
        <w:t>. at</w:t>
      </w:r>
      <w:r w:rsidR="00846912">
        <w:rPr>
          <w:rFonts w:eastAsia="Times New Roman" w:cs="Times New Roman"/>
          <w:szCs w:val="24"/>
        </w:rPr>
        <w:t xml:space="preserve"> ¶</w:t>
      </w:r>
      <w:r w:rsidR="00B84A01">
        <w:rPr>
          <w:rFonts w:eastAsia="Times New Roman" w:cs="Times New Roman"/>
          <w:szCs w:val="24"/>
        </w:rPr>
        <w:t xml:space="preserve"> </w:t>
      </w:r>
      <w:r w:rsidR="00846912">
        <w:rPr>
          <w:rFonts w:eastAsia="Times New Roman" w:cs="Times New Roman"/>
          <w:szCs w:val="24"/>
        </w:rPr>
        <w:t xml:space="preserve">25). </w:t>
      </w:r>
      <w:r w:rsidR="009C0A2A">
        <w:rPr>
          <w:rFonts w:eastAsia="Times New Roman" w:cs="Times New Roman"/>
          <w:szCs w:val="24"/>
        </w:rPr>
        <w:t>The a</w:t>
      </w:r>
      <w:r w:rsidR="002E34A5">
        <w:rPr>
          <w:rFonts w:eastAsia="Times New Roman" w:cs="Times New Roman"/>
          <w:szCs w:val="24"/>
        </w:rPr>
        <w:t xml:space="preserve">greement stated that Plaintiff </w:t>
      </w:r>
      <w:r w:rsidR="009C0A2A">
        <w:rPr>
          <w:rFonts w:eastAsia="Times New Roman" w:cs="Times New Roman"/>
          <w:szCs w:val="24"/>
        </w:rPr>
        <w:t>OGS TV was the author of the screenpl</w:t>
      </w:r>
      <w:r w:rsidR="002E34A5">
        <w:rPr>
          <w:rFonts w:eastAsia="Times New Roman" w:cs="Times New Roman"/>
          <w:szCs w:val="24"/>
        </w:rPr>
        <w:t>ay, “Anticipatory Repudiation”</w:t>
      </w:r>
      <w:r w:rsidR="002E34A5" w:rsidRPr="002E34A5">
        <w:rPr>
          <w:rFonts w:eastAsia="Times New Roman" w:cs="Times New Roman"/>
          <w:szCs w:val="24"/>
        </w:rPr>
        <w:t xml:space="preserve"> </w:t>
      </w:r>
      <w:bookmarkStart w:id="36" w:name="OLE_LINK36"/>
      <w:bookmarkStart w:id="37" w:name="OLE_LINK37"/>
      <w:r w:rsidR="002E34A5">
        <w:rPr>
          <w:rFonts w:eastAsia="Times New Roman" w:cs="Times New Roman"/>
          <w:szCs w:val="24"/>
        </w:rPr>
        <w:t>(</w:t>
      </w:r>
      <w:r w:rsidR="002E34A5">
        <w:rPr>
          <w:rFonts w:cs="Times New Roman"/>
          <w:i/>
          <w:szCs w:val="24"/>
        </w:rPr>
        <w:t>Id</w:t>
      </w:r>
      <w:r w:rsidR="002E34A5">
        <w:rPr>
          <w:rFonts w:cs="Times New Roman"/>
          <w:szCs w:val="24"/>
        </w:rPr>
        <w:t>. at</w:t>
      </w:r>
      <w:r w:rsidR="002E34A5">
        <w:rPr>
          <w:rFonts w:eastAsia="Times New Roman" w:cs="Times New Roman"/>
          <w:szCs w:val="24"/>
        </w:rPr>
        <w:t xml:space="preserve"> ¶ 24).</w:t>
      </w:r>
      <w:bookmarkEnd w:id="36"/>
      <w:bookmarkEnd w:id="37"/>
    </w:p>
    <w:p w14:paraId="268C9404" w14:textId="77777777" w:rsidR="009C0A2A" w:rsidRDefault="009C0A2A" w:rsidP="0026697B">
      <w:pPr>
        <w:ind w:firstLine="720"/>
        <w:jc w:val="both"/>
        <w:rPr>
          <w:rFonts w:eastAsia="Times New Roman" w:cs="Times New Roman"/>
          <w:szCs w:val="24"/>
        </w:rPr>
      </w:pPr>
      <w:r>
        <w:rPr>
          <w:rFonts w:eastAsia="Times New Roman" w:cs="Times New Roman"/>
          <w:szCs w:val="24"/>
        </w:rPr>
        <w:t xml:space="preserve">Until June 1, 2010, the </w:t>
      </w:r>
      <w:r w:rsidRPr="009C0A2A">
        <w:rPr>
          <w:rFonts w:eastAsia="Times New Roman" w:cs="Times New Roman"/>
          <w:szCs w:val="24"/>
        </w:rPr>
        <w:t>screenplay</w:t>
      </w:r>
      <w:r>
        <w:rPr>
          <w:rFonts w:eastAsia="Times New Roman" w:cs="Times New Roman"/>
          <w:szCs w:val="24"/>
        </w:rPr>
        <w:t xml:space="preserve"> “Anticipatory Repudiation”</w:t>
      </w:r>
      <w:r w:rsidRPr="009C0A2A">
        <w:rPr>
          <w:rFonts w:eastAsia="Times New Roman" w:cs="Times New Roman"/>
          <w:szCs w:val="24"/>
        </w:rPr>
        <w:t xml:space="preserve"> was </w:t>
      </w:r>
      <w:r>
        <w:rPr>
          <w:rFonts w:eastAsia="Times New Roman" w:cs="Times New Roman"/>
          <w:szCs w:val="24"/>
        </w:rPr>
        <w:t>never performed on OGS TV</w:t>
      </w:r>
      <w:r w:rsidR="00B84A01">
        <w:rPr>
          <w:rFonts w:eastAsia="Times New Roman" w:cs="Times New Roman"/>
          <w:szCs w:val="24"/>
        </w:rPr>
        <w:t xml:space="preserve"> (</w:t>
      </w:r>
      <w:r w:rsidR="00B84A01">
        <w:rPr>
          <w:rFonts w:cs="Times New Roman"/>
          <w:i/>
          <w:szCs w:val="24"/>
        </w:rPr>
        <w:t>Id</w:t>
      </w:r>
      <w:r w:rsidR="00B84A01">
        <w:rPr>
          <w:rFonts w:cs="Times New Roman"/>
          <w:szCs w:val="24"/>
        </w:rPr>
        <w:t>. at</w:t>
      </w:r>
      <w:r w:rsidR="00B84A01">
        <w:rPr>
          <w:rFonts w:eastAsia="Times New Roman" w:cs="Times New Roman"/>
          <w:szCs w:val="24"/>
        </w:rPr>
        <w:t xml:space="preserve"> ¶ 26)</w:t>
      </w:r>
      <w:r w:rsidRPr="009C0A2A">
        <w:rPr>
          <w:rFonts w:eastAsia="Times New Roman" w:cs="Times New Roman"/>
          <w:szCs w:val="24"/>
        </w:rPr>
        <w:t xml:space="preserve">. </w:t>
      </w:r>
      <w:r>
        <w:rPr>
          <w:rFonts w:eastAsia="Times New Roman" w:cs="Times New Roman"/>
          <w:szCs w:val="24"/>
        </w:rPr>
        <w:t>Plaintiff</w:t>
      </w:r>
      <w:r w:rsidRPr="009C0A2A">
        <w:rPr>
          <w:rFonts w:eastAsia="Times New Roman" w:cs="Times New Roman"/>
          <w:szCs w:val="24"/>
        </w:rPr>
        <w:t xml:space="preserve"> replied that t</w:t>
      </w:r>
      <w:r>
        <w:rPr>
          <w:rFonts w:eastAsia="Times New Roman" w:cs="Times New Roman"/>
          <w:szCs w:val="24"/>
        </w:rPr>
        <w:t xml:space="preserve">hey </w:t>
      </w:r>
      <w:r w:rsidRPr="009C0A2A">
        <w:rPr>
          <w:rFonts w:eastAsia="Times New Roman" w:cs="Times New Roman"/>
          <w:szCs w:val="24"/>
        </w:rPr>
        <w:t>were not happy wit</w:t>
      </w:r>
      <w:r w:rsidR="0026697B">
        <w:rPr>
          <w:rFonts w:eastAsia="Times New Roman" w:cs="Times New Roman"/>
          <w:szCs w:val="24"/>
        </w:rPr>
        <w:t>h the quality of the screenplay</w:t>
      </w:r>
      <w:r w:rsidRPr="009C0A2A">
        <w:rPr>
          <w:rFonts w:eastAsia="Times New Roman" w:cs="Times New Roman"/>
          <w:szCs w:val="24"/>
        </w:rPr>
        <w:t xml:space="preserve"> and that the story did</w:t>
      </w:r>
      <w:r w:rsidR="0026697B">
        <w:rPr>
          <w:rFonts w:eastAsia="Times New Roman" w:cs="Times New Roman"/>
          <w:szCs w:val="24"/>
        </w:rPr>
        <w:t xml:space="preserve"> not fit the theme of the show </w:t>
      </w:r>
      <w:bookmarkStart w:id="38" w:name="OLE_LINK38"/>
      <w:bookmarkStart w:id="39" w:name="OLE_LINK39"/>
      <w:r w:rsidR="0026697B">
        <w:rPr>
          <w:rFonts w:eastAsia="Times New Roman" w:cs="Times New Roman"/>
          <w:szCs w:val="24"/>
        </w:rPr>
        <w:t>(</w:t>
      </w:r>
      <w:r w:rsidR="0026697B">
        <w:rPr>
          <w:rFonts w:cs="Times New Roman"/>
          <w:i/>
          <w:szCs w:val="24"/>
        </w:rPr>
        <w:t>Id</w:t>
      </w:r>
      <w:r w:rsidR="0026697B">
        <w:rPr>
          <w:rFonts w:cs="Times New Roman"/>
          <w:szCs w:val="24"/>
        </w:rPr>
        <w:t>. at</w:t>
      </w:r>
      <w:r w:rsidR="0026697B">
        <w:rPr>
          <w:rFonts w:eastAsia="Times New Roman" w:cs="Times New Roman"/>
          <w:szCs w:val="24"/>
        </w:rPr>
        <w:t xml:space="preserve"> ¶ 26).</w:t>
      </w:r>
      <w:bookmarkEnd w:id="38"/>
      <w:bookmarkEnd w:id="39"/>
    </w:p>
    <w:p w14:paraId="7A172382" w14:textId="77777777" w:rsidR="00B87168" w:rsidRPr="00B87168" w:rsidRDefault="007D3AB0" w:rsidP="00482CF2">
      <w:pPr>
        <w:ind w:firstLine="720"/>
        <w:jc w:val="both"/>
        <w:rPr>
          <w:rFonts w:eastAsia="Times New Roman" w:cs="Times New Roman"/>
          <w:szCs w:val="24"/>
        </w:rPr>
      </w:pPr>
      <w:r>
        <w:rPr>
          <w:rFonts w:eastAsia="Times New Roman" w:cs="Times New Roman"/>
          <w:szCs w:val="24"/>
        </w:rPr>
        <w:t>On or about August 2, 2010, D</w:t>
      </w:r>
      <w:r w:rsidR="00B87168" w:rsidRPr="00B87168">
        <w:rPr>
          <w:rFonts w:eastAsia="Times New Roman" w:cs="Times New Roman"/>
          <w:szCs w:val="24"/>
        </w:rPr>
        <w:t xml:space="preserve">efendants, working in concert, created a new television series entitled </w:t>
      </w:r>
      <w:r w:rsidR="00B87168" w:rsidRPr="00F974DC">
        <w:rPr>
          <w:rFonts w:eastAsia="Times New Roman" w:cs="Times New Roman"/>
          <w:i/>
          <w:szCs w:val="24"/>
        </w:rPr>
        <w:t>The Tin Can</w:t>
      </w:r>
      <w:r>
        <w:rPr>
          <w:rFonts w:eastAsia="Times New Roman" w:cs="Times New Roman"/>
          <w:szCs w:val="24"/>
        </w:rPr>
        <w:t xml:space="preserve"> </w:t>
      </w:r>
      <w:bookmarkStart w:id="40" w:name="OLE_LINK40"/>
      <w:bookmarkStart w:id="41" w:name="OLE_LINK41"/>
      <w:r>
        <w:rPr>
          <w:rFonts w:eastAsia="Times New Roman" w:cs="Times New Roman"/>
          <w:szCs w:val="24"/>
        </w:rPr>
        <w:t>(</w:t>
      </w:r>
      <w:r>
        <w:rPr>
          <w:rFonts w:cs="Times New Roman"/>
          <w:i/>
          <w:szCs w:val="24"/>
        </w:rPr>
        <w:t>Id</w:t>
      </w:r>
      <w:r>
        <w:rPr>
          <w:rFonts w:cs="Times New Roman"/>
          <w:szCs w:val="24"/>
        </w:rPr>
        <w:t>. at</w:t>
      </w:r>
      <w:r>
        <w:rPr>
          <w:rFonts w:eastAsia="Times New Roman" w:cs="Times New Roman"/>
          <w:szCs w:val="24"/>
        </w:rPr>
        <w:t xml:space="preserve"> </w:t>
      </w:r>
      <w:bookmarkEnd w:id="40"/>
      <w:bookmarkEnd w:id="41"/>
      <w:r>
        <w:rPr>
          <w:rFonts w:eastAsia="Times New Roman" w:cs="Times New Roman"/>
          <w:szCs w:val="24"/>
        </w:rPr>
        <w:t>¶ 27)</w:t>
      </w:r>
      <w:r w:rsidR="00F974DC">
        <w:rPr>
          <w:rFonts w:eastAsia="Times New Roman" w:cs="Times New Roman"/>
          <w:szCs w:val="24"/>
        </w:rPr>
        <w:t xml:space="preserve">. In August 2010, Defendants </w:t>
      </w:r>
      <w:r w:rsidR="00B87168" w:rsidRPr="00B87168">
        <w:rPr>
          <w:rFonts w:eastAsia="Times New Roman" w:cs="Times New Roman"/>
          <w:szCs w:val="24"/>
        </w:rPr>
        <w:t xml:space="preserve">produced a screenplay for the pilot episode of </w:t>
      </w:r>
      <w:r w:rsidR="00B87168" w:rsidRPr="00F974DC">
        <w:rPr>
          <w:rFonts w:eastAsia="Times New Roman" w:cs="Times New Roman"/>
          <w:i/>
          <w:szCs w:val="24"/>
        </w:rPr>
        <w:t>The Tin Can</w:t>
      </w:r>
      <w:r w:rsidR="00B87168">
        <w:rPr>
          <w:rFonts w:eastAsia="Times New Roman" w:cs="Times New Roman"/>
          <w:szCs w:val="24"/>
        </w:rPr>
        <w:t>, entitled “The Love Below”</w:t>
      </w:r>
      <w:r w:rsidR="00B84A01">
        <w:rPr>
          <w:rFonts w:eastAsia="Times New Roman" w:cs="Times New Roman"/>
          <w:szCs w:val="24"/>
        </w:rPr>
        <w:t xml:space="preserve"> (</w:t>
      </w:r>
      <w:r w:rsidR="00B84A01">
        <w:rPr>
          <w:rFonts w:cs="Times New Roman"/>
          <w:i/>
          <w:szCs w:val="24"/>
        </w:rPr>
        <w:t>Id</w:t>
      </w:r>
      <w:r w:rsidR="00B84A01">
        <w:rPr>
          <w:rFonts w:cs="Times New Roman"/>
          <w:szCs w:val="24"/>
        </w:rPr>
        <w:t>. at</w:t>
      </w:r>
      <w:r w:rsidR="00B84A01">
        <w:rPr>
          <w:rFonts w:eastAsia="Times New Roman" w:cs="Times New Roman"/>
          <w:szCs w:val="24"/>
        </w:rPr>
        <w:t xml:space="preserve"> ¶ 28)</w:t>
      </w:r>
      <w:r w:rsidR="00B87168">
        <w:rPr>
          <w:rFonts w:eastAsia="Times New Roman" w:cs="Times New Roman"/>
          <w:szCs w:val="24"/>
        </w:rPr>
        <w:t>. The screenplay, “The Love Below”</w:t>
      </w:r>
      <w:r w:rsidR="00E66AB0">
        <w:rPr>
          <w:rFonts w:eastAsia="Times New Roman" w:cs="Times New Roman"/>
          <w:szCs w:val="24"/>
        </w:rPr>
        <w:t>,</w:t>
      </w:r>
      <w:r w:rsidR="00B87168">
        <w:rPr>
          <w:rFonts w:eastAsia="Times New Roman" w:cs="Times New Roman"/>
          <w:szCs w:val="24"/>
        </w:rPr>
        <w:t xml:space="preserve"> had a substantial part that was simila</w:t>
      </w:r>
      <w:r w:rsidR="00E66AB0">
        <w:rPr>
          <w:rFonts w:eastAsia="Times New Roman" w:cs="Times New Roman"/>
          <w:szCs w:val="24"/>
        </w:rPr>
        <w:t>r to “Anticipatory Repudiation”</w:t>
      </w:r>
      <w:r w:rsidR="00B84A01">
        <w:rPr>
          <w:rFonts w:eastAsia="Times New Roman" w:cs="Times New Roman"/>
          <w:szCs w:val="24"/>
        </w:rPr>
        <w:t xml:space="preserve"> (</w:t>
      </w:r>
      <w:r w:rsidR="00B84A01">
        <w:rPr>
          <w:rFonts w:cs="Times New Roman"/>
          <w:i/>
          <w:szCs w:val="24"/>
        </w:rPr>
        <w:t>Id</w:t>
      </w:r>
      <w:r w:rsidR="00B84A01">
        <w:rPr>
          <w:rFonts w:cs="Times New Roman"/>
          <w:szCs w:val="24"/>
        </w:rPr>
        <w:t>. at</w:t>
      </w:r>
      <w:r w:rsidR="00B84A01">
        <w:rPr>
          <w:rFonts w:eastAsia="Times New Roman" w:cs="Times New Roman"/>
          <w:szCs w:val="24"/>
        </w:rPr>
        <w:t xml:space="preserve"> ¶ 28)</w:t>
      </w:r>
      <w:r w:rsidR="00E66AB0">
        <w:rPr>
          <w:rFonts w:eastAsia="Times New Roman" w:cs="Times New Roman"/>
          <w:szCs w:val="24"/>
        </w:rPr>
        <w:t xml:space="preserve">. </w:t>
      </w:r>
      <w:r w:rsidR="00B87168" w:rsidRPr="00B87168">
        <w:rPr>
          <w:rFonts w:eastAsia="Times New Roman" w:cs="Times New Roman"/>
          <w:szCs w:val="24"/>
        </w:rPr>
        <w:lastRenderedPageBreak/>
        <w:t>Both screenplays contain</w:t>
      </w:r>
      <w:r w:rsidR="00B87168">
        <w:rPr>
          <w:rFonts w:eastAsia="Times New Roman" w:cs="Times New Roman"/>
          <w:szCs w:val="24"/>
        </w:rPr>
        <w:t>ed</w:t>
      </w:r>
      <w:r w:rsidR="00B87168" w:rsidRPr="00B87168">
        <w:rPr>
          <w:rFonts w:eastAsia="Times New Roman" w:cs="Times New Roman"/>
          <w:szCs w:val="24"/>
        </w:rPr>
        <w:t xml:space="preserve"> </w:t>
      </w:r>
      <w:r w:rsidR="00B87168">
        <w:rPr>
          <w:rFonts w:eastAsia="Times New Roman" w:cs="Times New Roman"/>
          <w:szCs w:val="24"/>
        </w:rPr>
        <w:t>the same</w:t>
      </w:r>
      <w:r w:rsidR="00B87168" w:rsidRPr="00B87168">
        <w:rPr>
          <w:rFonts w:eastAsia="Times New Roman" w:cs="Times New Roman"/>
          <w:szCs w:val="24"/>
        </w:rPr>
        <w:t xml:space="preserve"> dialogue, characters, and storylines</w:t>
      </w:r>
      <w:r w:rsidR="00B87168">
        <w:rPr>
          <w:rFonts w:eastAsia="Times New Roman" w:cs="Times New Roman"/>
          <w:szCs w:val="24"/>
        </w:rPr>
        <w:t>, but were different</w:t>
      </w:r>
      <w:r w:rsidR="00B87168" w:rsidRPr="00B87168">
        <w:rPr>
          <w:rFonts w:eastAsia="Times New Roman" w:cs="Times New Roman"/>
          <w:szCs w:val="24"/>
        </w:rPr>
        <w:t xml:space="preserve"> </w:t>
      </w:r>
      <w:r w:rsidR="00B87168">
        <w:rPr>
          <w:rFonts w:eastAsia="Times New Roman" w:cs="Times New Roman"/>
          <w:szCs w:val="24"/>
        </w:rPr>
        <w:t xml:space="preserve">in </w:t>
      </w:r>
      <w:r w:rsidR="00B87168" w:rsidRPr="00B87168">
        <w:rPr>
          <w:rFonts w:eastAsia="Times New Roman" w:cs="Times New Roman"/>
          <w:szCs w:val="24"/>
        </w:rPr>
        <w:t>the setting, premise of the show, and the names an</w:t>
      </w:r>
      <w:r w:rsidR="00B87168">
        <w:rPr>
          <w:rFonts w:eastAsia="Times New Roman" w:cs="Times New Roman"/>
          <w:szCs w:val="24"/>
        </w:rPr>
        <w:t>d occupations of the characters</w:t>
      </w:r>
      <w:r w:rsidR="00E66AB0">
        <w:rPr>
          <w:rFonts w:eastAsia="Times New Roman" w:cs="Times New Roman"/>
          <w:szCs w:val="24"/>
        </w:rPr>
        <w:t xml:space="preserve"> (</w:t>
      </w:r>
      <w:r w:rsidR="00E66AB0">
        <w:rPr>
          <w:rFonts w:cs="Times New Roman"/>
          <w:i/>
          <w:szCs w:val="24"/>
        </w:rPr>
        <w:t>Id</w:t>
      </w:r>
      <w:r w:rsidR="00E66AB0">
        <w:rPr>
          <w:rFonts w:cs="Times New Roman"/>
          <w:szCs w:val="24"/>
        </w:rPr>
        <w:t>. at</w:t>
      </w:r>
      <w:r w:rsidR="00E66AB0">
        <w:rPr>
          <w:rFonts w:eastAsia="Times New Roman" w:cs="Times New Roman"/>
          <w:szCs w:val="24"/>
        </w:rPr>
        <w:t xml:space="preserve"> </w:t>
      </w:r>
      <w:r w:rsidR="00D9428F">
        <w:rPr>
          <w:rFonts w:eastAsia="Times New Roman" w:cs="Times New Roman"/>
          <w:szCs w:val="24"/>
        </w:rPr>
        <w:t>¶</w:t>
      </w:r>
      <w:r w:rsidR="00E66AB0">
        <w:rPr>
          <w:rFonts w:eastAsia="Times New Roman" w:cs="Times New Roman"/>
          <w:szCs w:val="24"/>
        </w:rPr>
        <w:t>¶ 28, 31).</w:t>
      </w:r>
    </w:p>
    <w:p w14:paraId="64BA2C0F" w14:textId="77777777" w:rsidR="009C0A2A" w:rsidRDefault="00F06D52" w:rsidP="00683E42">
      <w:pPr>
        <w:ind w:firstLine="720"/>
        <w:jc w:val="both"/>
        <w:rPr>
          <w:rFonts w:eastAsia="Times New Roman" w:cs="Times New Roman"/>
          <w:szCs w:val="24"/>
        </w:rPr>
      </w:pPr>
      <w:r>
        <w:rPr>
          <w:rFonts w:eastAsia="Times New Roman" w:cs="Times New Roman"/>
          <w:szCs w:val="24"/>
        </w:rPr>
        <w:t>On September 7, 2010, D</w:t>
      </w:r>
      <w:r w:rsidR="00B87168" w:rsidRPr="00B87168">
        <w:rPr>
          <w:rFonts w:eastAsia="Times New Roman" w:cs="Times New Roman"/>
          <w:szCs w:val="24"/>
        </w:rPr>
        <w:t>efendants</w:t>
      </w:r>
      <w:r w:rsidR="00B87168">
        <w:rPr>
          <w:rFonts w:eastAsia="Times New Roman" w:cs="Times New Roman"/>
          <w:szCs w:val="24"/>
        </w:rPr>
        <w:t xml:space="preserve"> </w:t>
      </w:r>
      <w:r w:rsidR="00B87168" w:rsidRPr="00B87168">
        <w:rPr>
          <w:rFonts w:eastAsia="Times New Roman" w:cs="Times New Roman"/>
          <w:szCs w:val="24"/>
        </w:rPr>
        <w:t xml:space="preserve">produced and performed the screenplay “The Love Below” on television, and have broadcast and displayed such </w:t>
      </w:r>
      <w:r w:rsidR="00535EC2">
        <w:rPr>
          <w:rFonts w:eastAsia="Times New Roman" w:cs="Times New Roman"/>
          <w:szCs w:val="24"/>
        </w:rPr>
        <w:t>performance over television on D</w:t>
      </w:r>
      <w:r w:rsidR="00B87168" w:rsidRPr="00B87168">
        <w:rPr>
          <w:rFonts w:eastAsia="Times New Roman" w:cs="Times New Roman"/>
          <w:szCs w:val="24"/>
        </w:rPr>
        <w:t xml:space="preserve">efendant </w:t>
      </w:r>
      <w:proofErr w:type="spellStart"/>
      <w:r w:rsidR="00B87168" w:rsidRPr="00B87168">
        <w:rPr>
          <w:rFonts w:eastAsia="Times New Roman" w:cs="Times New Roman"/>
          <w:szCs w:val="24"/>
        </w:rPr>
        <w:t>Tin</w:t>
      </w:r>
      <w:r w:rsidR="00535EC2">
        <w:rPr>
          <w:rFonts w:eastAsia="Times New Roman" w:cs="Times New Roman"/>
          <w:szCs w:val="24"/>
        </w:rPr>
        <w:t>yTV’s</w:t>
      </w:r>
      <w:proofErr w:type="spellEnd"/>
      <w:r w:rsidR="00535EC2">
        <w:rPr>
          <w:rFonts w:eastAsia="Times New Roman" w:cs="Times New Roman"/>
          <w:szCs w:val="24"/>
        </w:rPr>
        <w:t xml:space="preserve"> cable television channel (</w:t>
      </w:r>
      <w:r w:rsidR="00535EC2">
        <w:rPr>
          <w:rFonts w:cs="Times New Roman"/>
          <w:i/>
          <w:szCs w:val="24"/>
        </w:rPr>
        <w:t>Id</w:t>
      </w:r>
      <w:r w:rsidR="00535EC2">
        <w:rPr>
          <w:rFonts w:cs="Times New Roman"/>
          <w:szCs w:val="24"/>
        </w:rPr>
        <w:t>. at</w:t>
      </w:r>
      <w:r w:rsidR="00535EC2">
        <w:rPr>
          <w:rFonts w:eastAsia="Times New Roman" w:cs="Times New Roman"/>
          <w:szCs w:val="24"/>
        </w:rPr>
        <w:t xml:space="preserve"> ¶ 29).</w:t>
      </w:r>
    </w:p>
    <w:p w14:paraId="553922C6" w14:textId="77777777" w:rsidR="00327CAD" w:rsidRDefault="00327CAD" w:rsidP="00683E42">
      <w:pPr>
        <w:ind w:firstLine="720"/>
        <w:jc w:val="both"/>
        <w:rPr>
          <w:rFonts w:eastAsia="Times New Roman" w:cs="Times New Roman"/>
          <w:szCs w:val="24"/>
        </w:rPr>
      </w:pPr>
      <w:r>
        <w:rPr>
          <w:rFonts w:cs="Times New Roman"/>
          <w:szCs w:val="24"/>
        </w:rPr>
        <w:t>Plaintiff brought suit for injunctive relief and compensatory damages of $86,000 against the defendants under the Copyright Acts, 17 U.S.C. § 101 (</w:t>
      </w:r>
      <w:r>
        <w:rPr>
          <w:rFonts w:cs="Times New Roman"/>
          <w:i/>
          <w:szCs w:val="24"/>
        </w:rPr>
        <w:t>Id</w:t>
      </w:r>
      <w:r>
        <w:rPr>
          <w:rFonts w:cs="Times New Roman"/>
          <w:szCs w:val="24"/>
        </w:rPr>
        <w:t>. at ¶ 30).   Plaintiff alleged that Lime and TT infringed upon OGS’s copyrighted screenplay by using it without OGS’s knowledge or consent, and that the dialogue, characters, as well as storylines are identical (</w:t>
      </w:r>
      <w:r>
        <w:rPr>
          <w:rFonts w:cs="Times New Roman"/>
          <w:i/>
          <w:szCs w:val="24"/>
        </w:rPr>
        <w:t>Id</w:t>
      </w:r>
      <w:r>
        <w:rPr>
          <w:rFonts w:cs="Times New Roman"/>
          <w:szCs w:val="24"/>
        </w:rPr>
        <w:t xml:space="preserve">. at </w:t>
      </w:r>
      <w:bookmarkStart w:id="42" w:name="OLE_LINK10"/>
      <w:r>
        <w:rPr>
          <w:rFonts w:cs="Times New Roman"/>
          <w:szCs w:val="24"/>
        </w:rPr>
        <w:t>¶</w:t>
      </w:r>
      <w:bookmarkEnd w:id="42"/>
      <w:r>
        <w:rPr>
          <w:rFonts w:cs="Times New Roman"/>
          <w:szCs w:val="24"/>
        </w:rPr>
        <w:t xml:space="preserve">¶ 29, 31). For the reasons stated below, the only logical conclusion for the Court is that Lime was the author of the screenplay and the recipient of the certificate of registration from the Register of Copyrights. Accordingly, pursuant to the </w:t>
      </w:r>
      <w:r w:rsidR="00101D65">
        <w:rPr>
          <w:rFonts w:cs="Times New Roman"/>
          <w:szCs w:val="24"/>
        </w:rPr>
        <w:t xml:space="preserve">Federal R. Civ. P. 12(b)(6), </w:t>
      </w:r>
      <w:r w:rsidR="0031062A">
        <w:rPr>
          <w:rFonts w:cs="Times New Roman"/>
          <w:szCs w:val="24"/>
        </w:rPr>
        <w:t>the Defendants hereby submit this memorandum in support of their motion to dismiss Plaintiff’s Complaint with prejudice.</w:t>
      </w:r>
    </w:p>
    <w:p w14:paraId="0BF7F248" w14:textId="77777777" w:rsidR="00327CAD" w:rsidRDefault="00327CAD" w:rsidP="005D1D44">
      <w:pPr>
        <w:jc w:val="center"/>
        <w:rPr>
          <w:rFonts w:cs="Times New Roman"/>
          <w:b/>
          <w:szCs w:val="24"/>
          <w:u w:val="single"/>
        </w:rPr>
      </w:pPr>
    </w:p>
    <w:p w14:paraId="42165A4C" w14:textId="77777777" w:rsidR="005D1D44" w:rsidRDefault="005D1D44" w:rsidP="005D1D44">
      <w:pPr>
        <w:jc w:val="center"/>
        <w:rPr>
          <w:rFonts w:cs="Times New Roman"/>
          <w:b/>
          <w:szCs w:val="24"/>
          <w:u w:val="single"/>
        </w:rPr>
      </w:pPr>
      <w:r>
        <w:rPr>
          <w:rFonts w:cs="Times New Roman"/>
          <w:b/>
          <w:szCs w:val="24"/>
          <w:u w:val="single"/>
        </w:rPr>
        <w:t>ARGUMENTS</w:t>
      </w:r>
    </w:p>
    <w:p w14:paraId="6E92DA8A" w14:textId="77777777" w:rsidR="00F53249" w:rsidRPr="00F53249" w:rsidRDefault="00DF6185" w:rsidP="00DF6185">
      <w:pPr>
        <w:ind w:firstLine="720"/>
        <w:rPr>
          <w:rFonts w:cs="Times New Roman"/>
          <w:szCs w:val="24"/>
        </w:rPr>
      </w:pPr>
      <w:r>
        <w:rPr>
          <w:rFonts w:cs="Times New Roman"/>
          <w:szCs w:val="24"/>
        </w:rPr>
        <w:t xml:space="preserve">To survive a 12(b)(6) motion to dismiss, with the Court’s taking true all the facts in the complaint, the Plaintiff must avoid any kind of legal deficiency that precludes his chance of winning. For the following part, we will argue from plain language, structure of the statute, legislative intent, public policy, case law, and rule of lenity to show that a signed written agreement unequivocally delegating the work into a “work made for hire” is required prior to </w:t>
      </w:r>
      <w:r>
        <w:rPr>
          <w:rFonts w:cs="Times New Roman"/>
          <w:szCs w:val="24"/>
        </w:rPr>
        <w:lastRenderedPageBreak/>
        <w:t>work completion. The plaintiff fails to provide any legal ground upon which claims can be granted. Therefore, the Court should grant a 12(b)(6) motion to dismiss.</w:t>
      </w:r>
    </w:p>
    <w:p w14:paraId="12D6E489" w14:textId="77777777" w:rsidR="009C0A2A" w:rsidRPr="00AF218A" w:rsidRDefault="00BE4EF5" w:rsidP="00AF218A">
      <w:pPr>
        <w:pStyle w:val="ListParagraph"/>
        <w:numPr>
          <w:ilvl w:val="0"/>
          <w:numId w:val="1"/>
        </w:numPr>
        <w:spacing w:line="240" w:lineRule="auto"/>
        <w:ind w:left="720"/>
        <w:rPr>
          <w:rFonts w:ascii="Times New Roman" w:hAnsi="Times New Roman" w:cs="Times New Roman"/>
          <w:b/>
          <w:sz w:val="24"/>
          <w:szCs w:val="24"/>
        </w:rPr>
      </w:pPr>
      <w:bookmarkStart w:id="43" w:name="OLE_LINK61"/>
      <w:bookmarkStart w:id="44" w:name="OLE_LINK62"/>
      <w:r>
        <w:rPr>
          <w:rFonts w:ascii="Times New Roman" w:hAnsi="Times New Roman" w:cs="Times New Roman"/>
          <w:b/>
          <w:sz w:val="24"/>
          <w:szCs w:val="24"/>
          <w:u w:val="single"/>
        </w:rPr>
        <w:t>THE AGREEMENT BETWEEN PLAINTIFF AND LIME DOES NOT MEET THE ACT’S DEFINITION OF WORK FOR HIRE BECAUSE THERE WAS NO WRITTEN AGREEMENT SIGNED BEFORE WORK CREATION.</w:t>
      </w:r>
    </w:p>
    <w:bookmarkEnd w:id="43"/>
    <w:bookmarkEnd w:id="44"/>
    <w:p w14:paraId="590A0DBF" w14:textId="77777777" w:rsidR="0080540F" w:rsidRDefault="0080540F" w:rsidP="005D1D44">
      <w:pPr>
        <w:ind w:firstLine="720"/>
        <w:jc w:val="both"/>
      </w:pPr>
      <w:r>
        <w:rPr>
          <w:rFonts w:cs="Times New Roman"/>
          <w:szCs w:val="24"/>
        </w:rPr>
        <w:t>Under the Copyright Act of 1976 17 U.S.C. § 201(a), the author or creator of a work is unequivocally its default owner</w:t>
      </w:r>
      <w:r w:rsidR="002E2C3E">
        <w:rPr>
          <w:rFonts w:cs="Times New Roman"/>
          <w:szCs w:val="24"/>
        </w:rPr>
        <w:t xml:space="preserve"> as copyright ownership “vests initially in the author or authors of the work”</w:t>
      </w:r>
      <w:r w:rsidR="00432E79">
        <w:rPr>
          <w:rFonts w:cs="Times New Roman"/>
          <w:szCs w:val="24"/>
        </w:rPr>
        <w:t xml:space="preserve">. </w:t>
      </w:r>
      <w:r>
        <w:rPr>
          <w:rFonts w:cs="Times New Roman"/>
          <w:szCs w:val="24"/>
        </w:rPr>
        <w:t xml:space="preserve">However, there is one narrow exception for works created by an employee within the scope of her employment.  Pursuant to </w:t>
      </w:r>
      <w:bookmarkStart w:id="45" w:name="OLE_LINK15"/>
      <w:bookmarkStart w:id="46" w:name="OLE_LINK16"/>
      <w:r>
        <w:rPr>
          <w:rFonts w:cs="Times New Roman"/>
          <w:szCs w:val="24"/>
        </w:rPr>
        <w:t>§</w:t>
      </w:r>
      <w:bookmarkEnd w:id="45"/>
      <w:bookmarkEnd w:id="46"/>
      <w:r w:rsidR="00B1595A">
        <w:rPr>
          <w:rFonts w:cs="Times New Roman"/>
          <w:szCs w:val="24"/>
        </w:rPr>
        <w:t xml:space="preserve"> </w:t>
      </w:r>
      <w:r>
        <w:rPr>
          <w:rFonts w:cs="Times New Roman"/>
          <w:szCs w:val="24"/>
        </w:rPr>
        <w:t>201(b), such creations are work-made-for-hire that shift the default ownership rights to the person “for whom the work was prepared.”</w:t>
      </w:r>
      <w:r w:rsidR="00B1595A">
        <w:rPr>
          <w:rFonts w:cs="Times New Roman"/>
          <w:szCs w:val="24"/>
        </w:rPr>
        <w:t xml:space="preserve"> </w:t>
      </w:r>
      <w:r w:rsidR="00B1595A">
        <w:t xml:space="preserve">There is an exception, however, for “works made for hire,” in which case “the employer or other person for whom the work was prepared is considered the author” and “owns the copyright, unless there is a written agreement to the contrary.” </w:t>
      </w:r>
      <w:bookmarkStart w:id="47" w:name="OLE_LINK43"/>
      <w:proofErr w:type="gramStart"/>
      <w:r w:rsidR="00B1595A">
        <w:t xml:space="preserve">17 U.S.C. </w:t>
      </w:r>
      <w:r w:rsidR="00B1595A">
        <w:rPr>
          <w:rFonts w:cs="Times New Roman"/>
          <w:szCs w:val="24"/>
        </w:rPr>
        <w:t>§ 201(b).</w:t>
      </w:r>
      <w:bookmarkEnd w:id="47"/>
      <w:proofErr w:type="gramEnd"/>
    </w:p>
    <w:p w14:paraId="71BE3824" w14:textId="77777777" w:rsidR="00AF218A" w:rsidRDefault="002877E6" w:rsidP="005D1D44">
      <w:pPr>
        <w:ind w:firstLine="720"/>
        <w:jc w:val="both"/>
      </w:pPr>
      <w:r>
        <w:t>A work is “</w:t>
      </w:r>
      <w:r w:rsidR="003C1DA7">
        <w:t xml:space="preserve">made </w:t>
      </w:r>
      <w:r>
        <w:t xml:space="preserve">for hire” if it is either (1) “prepared by an employee within the scope of his or her employment,” or (2) “specially ordered or commissioned for use . . ., if the parties expressly agree in </w:t>
      </w:r>
      <w:bookmarkStart w:id="48" w:name="OLE_LINK21"/>
      <w:bookmarkStart w:id="49" w:name="OLE_LINK42"/>
      <w:r>
        <w:t xml:space="preserve">a written instrument signed by them that the work shall </w:t>
      </w:r>
      <w:bookmarkEnd w:id="48"/>
      <w:bookmarkEnd w:id="49"/>
      <w:r>
        <w:t>be considered a work made for hire.”</w:t>
      </w:r>
      <w:r w:rsidR="009625C0" w:rsidRPr="009625C0">
        <w:t xml:space="preserve"> </w:t>
      </w:r>
      <w:proofErr w:type="gramStart"/>
      <w:r w:rsidR="009625C0">
        <w:t xml:space="preserve">17 U.S.C. </w:t>
      </w:r>
      <w:r w:rsidR="009625C0">
        <w:rPr>
          <w:rFonts w:cs="Times New Roman"/>
          <w:szCs w:val="24"/>
        </w:rPr>
        <w:t>§ 201(b).</w:t>
      </w:r>
      <w:proofErr w:type="gramEnd"/>
      <w:r w:rsidR="005F221A">
        <w:t xml:space="preserve"> The “work made for hire” doctrine is an </w:t>
      </w:r>
      <w:r w:rsidR="00CE05B7">
        <w:t>exception to the default rule regarding to copyright ownership vestment.</w:t>
      </w:r>
    </w:p>
    <w:p w14:paraId="297CC287" w14:textId="77777777" w:rsidR="00A95710" w:rsidRPr="001820DE" w:rsidRDefault="00857F09" w:rsidP="001820DE">
      <w:pPr>
        <w:ind w:firstLine="720"/>
        <w:jc w:val="both"/>
      </w:pPr>
      <w:r>
        <w:t xml:space="preserve">It would be implausible to argue that Defendant Elizabeth Lime is an employee of Plaintiff OGS TV. Plaintiff alleged in the Complaint to have eight employees to prepare the screenplays, contrasting that Defendant Lime is not an employee. Plaintiff contacted Lime to specially commission from her a screenplay for one episode. This request was the first time that Plaintiff had asked a writer who was not an employee of Plaintiff to prepare a screenplay for </w:t>
      </w:r>
      <w:r>
        <w:rPr>
          <w:i/>
        </w:rPr>
        <w:t>Lawless Love</w:t>
      </w:r>
      <w:r>
        <w:t xml:space="preserve"> (</w:t>
      </w:r>
      <w:r>
        <w:rPr>
          <w:rFonts w:cs="Times New Roman"/>
          <w:szCs w:val="24"/>
        </w:rPr>
        <w:t xml:space="preserve">Pl. </w:t>
      </w:r>
      <w:proofErr w:type="spellStart"/>
      <w:r>
        <w:rPr>
          <w:rFonts w:cs="Times New Roman"/>
          <w:szCs w:val="24"/>
        </w:rPr>
        <w:t>Compl</w:t>
      </w:r>
      <w:proofErr w:type="spellEnd"/>
      <w:r>
        <w:rPr>
          <w:rFonts w:cs="Times New Roman"/>
          <w:szCs w:val="24"/>
        </w:rPr>
        <w:t xml:space="preserve">. </w:t>
      </w:r>
      <w:bookmarkStart w:id="50" w:name="OLE_LINK45"/>
      <w:bookmarkStart w:id="51" w:name="OLE_LINK44"/>
      <w:r>
        <w:rPr>
          <w:rFonts w:cs="Times New Roman"/>
          <w:szCs w:val="24"/>
        </w:rPr>
        <w:t>¶</w:t>
      </w:r>
      <w:bookmarkEnd w:id="50"/>
      <w:bookmarkEnd w:id="51"/>
      <w:r>
        <w:rPr>
          <w:rFonts w:cs="Times New Roman"/>
          <w:szCs w:val="24"/>
        </w:rPr>
        <w:t>¶ 5, 8</w:t>
      </w:r>
      <w:r>
        <w:t xml:space="preserve">). Plaintiff knows that Lime’s work is specially commissioned </w:t>
      </w:r>
      <w:r>
        <w:lastRenderedPageBreak/>
        <w:t xml:space="preserve">and, under 17 U.S.C. </w:t>
      </w:r>
      <w:r>
        <w:rPr>
          <w:rFonts w:eastAsia="Times New Roman" w:cs="Times New Roman"/>
          <w:szCs w:val="24"/>
        </w:rPr>
        <w:t>§ 101(2), the parties must expressly agree in a written instrument signed by them that the work shall be considered a work made for hire in order to be so.</w:t>
      </w:r>
    </w:p>
    <w:p w14:paraId="323F7BDA" w14:textId="77777777" w:rsidR="003C1DA7" w:rsidRDefault="00424906" w:rsidP="002E55A9">
      <w:pPr>
        <w:ind w:firstLine="720"/>
        <w:jc w:val="both"/>
      </w:pPr>
      <w:r>
        <w:t>The starting point of the C</w:t>
      </w:r>
      <w:r w:rsidR="003C1DA7">
        <w:t xml:space="preserve">ourt’s interpretation of a statute is always its language. </w:t>
      </w:r>
      <w:r w:rsidR="003C1DA7" w:rsidRPr="009A4C8F">
        <w:rPr>
          <w:i/>
        </w:rPr>
        <w:t xml:space="preserve">See </w:t>
      </w:r>
      <w:r w:rsidR="003C1DA7">
        <w:rPr>
          <w:i/>
        </w:rPr>
        <w:t>Consumer Prod.</w:t>
      </w:r>
      <w:r w:rsidR="003C1DA7" w:rsidRPr="009A4C8F">
        <w:rPr>
          <w:i/>
        </w:rPr>
        <w:t xml:space="preserve"> </w:t>
      </w:r>
      <w:proofErr w:type="gramStart"/>
      <w:r w:rsidR="003C1DA7" w:rsidRPr="009A4C8F">
        <w:rPr>
          <w:i/>
        </w:rPr>
        <w:t>Sa</w:t>
      </w:r>
      <w:r w:rsidR="003C1DA7">
        <w:rPr>
          <w:i/>
        </w:rPr>
        <w:t xml:space="preserve">fety </w:t>
      </w:r>
      <w:proofErr w:type="spellStart"/>
      <w:r w:rsidR="003C1DA7">
        <w:rPr>
          <w:i/>
        </w:rPr>
        <w:t>Comm'n</w:t>
      </w:r>
      <w:proofErr w:type="spellEnd"/>
      <w:r w:rsidR="003C1DA7">
        <w:rPr>
          <w:i/>
        </w:rPr>
        <w:t xml:space="preserve"> v. GTE Sylvania, Inc.</w:t>
      </w:r>
      <w:r w:rsidR="003C1DA7">
        <w:t>,</w:t>
      </w:r>
      <w:r w:rsidR="003C1DA7" w:rsidRPr="007E4AD8">
        <w:t xml:space="preserve"> 447 U.S. 102 (1980).</w:t>
      </w:r>
      <w:proofErr w:type="gramEnd"/>
      <w:r w:rsidR="003D67DE">
        <w:t xml:space="preserve"> </w:t>
      </w:r>
      <w:r>
        <w:rPr>
          <w:rFonts w:cs="Times New Roman"/>
          <w:szCs w:val="24"/>
        </w:rPr>
        <w:t xml:space="preserve">This approach assumes that the legislature used the words, grammar, and punctuation in a “normal” way to communicate its intent.  Thus the words, grammar, and punctuation are to be given the meaning that they would ordinarily produce when trying to determine the legislature’s intent.  </w:t>
      </w:r>
      <w:r>
        <w:rPr>
          <w:rFonts w:cs="Times New Roman"/>
          <w:i/>
          <w:szCs w:val="24"/>
        </w:rPr>
        <w:t>See Thayer v. State</w:t>
      </w:r>
      <w:r>
        <w:rPr>
          <w:rFonts w:cs="Times New Roman"/>
          <w:szCs w:val="24"/>
        </w:rPr>
        <w:t xml:space="preserve">, 335 So.2d 815, 816 (Fla. 1976). </w:t>
      </w:r>
      <w:r w:rsidR="003D67DE">
        <w:t xml:space="preserve">A careful </w:t>
      </w:r>
      <w:r w:rsidR="009E1D96">
        <w:t xml:space="preserve">analysis on the exact </w:t>
      </w:r>
      <w:r w:rsidR="003D67DE">
        <w:t>words in the statute would reveal that Congress</w:t>
      </w:r>
      <w:r w:rsidR="009E1D96">
        <w:t xml:space="preserve"> intended to require a written agreement</w:t>
      </w:r>
      <w:r w:rsidR="003D67DE">
        <w:t xml:space="preserve"> signed before work creation. </w:t>
      </w:r>
      <w:r w:rsidR="009E1D96">
        <w:t>Even i</w:t>
      </w:r>
      <w:r w:rsidR="001C4482">
        <w:t>f the Court does no</w:t>
      </w:r>
      <w:r>
        <w:t xml:space="preserve">t believe so, in a broader sense, plain language </w:t>
      </w:r>
      <w:r w:rsidR="002E55A9">
        <w:t xml:space="preserve">here is ambiguous that </w:t>
      </w:r>
      <w:r>
        <w:t>equally favors Plaintiff and Defendant</w:t>
      </w:r>
      <w:r w:rsidR="009E1D96">
        <w:t>,</w:t>
      </w:r>
      <w:r>
        <w:t xml:space="preserve"> and </w:t>
      </w:r>
      <w:r w:rsidR="009E1D96">
        <w:t>only leads us to give more credits to</w:t>
      </w:r>
      <w:r>
        <w:t xml:space="preserve"> other sections of analysis.</w:t>
      </w:r>
    </w:p>
    <w:p w14:paraId="487F269F" w14:textId="77777777" w:rsidR="00B942AA" w:rsidRDefault="00B942AA" w:rsidP="005D1D44">
      <w:pPr>
        <w:ind w:firstLine="720"/>
        <w:jc w:val="both"/>
        <w:rPr>
          <w:rFonts w:eastAsia="Times New Roman" w:cs="Times New Roman"/>
          <w:szCs w:val="24"/>
        </w:rPr>
      </w:pPr>
      <w:r>
        <w:rPr>
          <w:rFonts w:eastAsia="Times New Roman" w:cs="Times New Roman"/>
          <w:szCs w:val="24"/>
        </w:rPr>
        <w:t xml:space="preserve">Words “for” and “shall” are plain indications that there must be a written instrument signed by both parties </w:t>
      </w:r>
      <w:r w:rsidRPr="00B942AA">
        <w:rPr>
          <w:rFonts w:eastAsia="Times New Roman" w:cs="Times New Roman"/>
          <w:i/>
          <w:szCs w:val="24"/>
        </w:rPr>
        <w:t>prior</w:t>
      </w:r>
      <w:r>
        <w:rPr>
          <w:rFonts w:eastAsia="Times New Roman" w:cs="Times New Roman"/>
          <w:szCs w:val="24"/>
        </w:rPr>
        <w:t xml:space="preserve"> to the work is completed.</w:t>
      </w:r>
      <w:r w:rsidR="000D0542">
        <w:rPr>
          <w:rFonts w:eastAsia="Times New Roman" w:cs="Times New Roman"/>
          <w:szCs w:val="24"/>
        </w:rPr>
        <w:t xml:space="preserve"> In order to Plaintiff to prevail, the screenplay at issue must be a work for hire, and here, a work for the special commission. </w:t>
      </w:r>
      <w:r w:rsidR="008319A6">
        <w:rPr>
          <w:rFonts w:eastAsia="Times New Roman" w:cs="Times New Roman"/>
          <w:szCs w:val="24"/>
        </w:rPr>
        <w:t xml:space="preserve">“For” is used as “a function” or “an intended goal”. </w:t>
      </w:r>
      <w:proofErr w:type="gramStart"/>
      <w:r w:rsidR="008319A6" w:rsidRPr="008319A6">
        <w:rPr>
          <w:rFonts w:eastAsia="Times New Roman" w:cs="Times New Roman"/>
          <w:szCs w:val="24"/>
        </w:rPr>
        <w:t>Merriam-Webster Dictionary</w:t>
      </w:r>
      <w:r w:rsidR="00782E30">
        <w:rPr>
          <w:rFonts w:eastAsia="Times New Roman" w:cs="Times New Roman"/>
          <w:szCs w:val="24"/>
        </w:rPr>
        <w:t xml:space="preserve"> 11th Ed.</w:t>
      </w:r>
      <w:r w:rsidR="008319A6">
        <w:rPr>
          <w:rFonts w:eastAsia="Times New Roman" w:cs="Times New Roman"/>
          <w:szCs w:val="24"/>
        </w:rPr>
        <w:t xml:space="preserve"> It’s “u</w:t>
      </w:r>
      <w:r w:rsidR="008319A6" w:rsidRPr="008319A6">
        <w:rPr>
          <w:rFonts w:eastAsia="Times New Roman" w:cs="Times New Roman"/>
          <w:szCs w:val="24"/>
        </w:rPr>
        <w:t>sed to indicate the object, aim, or purpose of an action or activity</w:t>
      </w:r>
      <w:r w:rsidR="008319A6">
        <w:rPr>
          <w:rFonts w:eastAsia="Times New Roman" w:cs="Times New Roman"/>
          <w:szCs w:val="24"/>
        </w:rPr>
        <w:t>”.</w:t>
      </w:r>
      <w:proofErr w:type="gramEnd"/>
      <w:r w:rsidR="008319A6">
        <w:rPr>
          <w:rFonts w:eastAsia="Times New Roman" w:cs="Times New Roman"/>
          <w:szCs w:val="24"/>
        </w:rPr>
        <w:t xml:space="preserve"> (</w:t>
      </w:r>
      <w:bookmarkStart w:id="52" w:name="OLE_LINK56"/>
      <w:r w:rsidR="008319A6" w:rsidRPr="008319A6">
        <w:rPr>
          <w:rFonts w:eastAsia="Times New Roman" w:cs="Times New Roman"/>
          <w:szCs w:val="24"/>
        </w:rPr>
        <w:t>American Heritage Dictionary 4th Edition</w:t>
      </w:r>
      <w:bookmarkEnd w:id="52"/>
      <w:r w:rsidR="008319A6">
        <w:rPr>
          <w:rFonts w:eastAsia="Times New Roman" w:cs="Times New Roman"/>
          <w:szCs w:val="24"/>
        </w:rPr>
        <w:t xml:space="preserve">) Combining the explicit written instrument requirement in the statute, </w:t>
      </w:r>
      <w:r w:rsidR="0013410B">
        <w:rPr>
          <w:rFonts w:eastAsia="Times New Roman" w:cs="Times New Roman"/>
          <w:szCs w:val="24"/>
        </w:rPr>
        <w:t>there must be a written instrument manifesting this purpose</w:t>
      </w:r>
      <w:r w:rsidR="00BC6784">
        <w:rPr>
          <w:rFonts w:eastAsia="Times New Roman" w:cs="Times New Roman"/>
          <w:szCs w:val="24"/>
        </w:rPr>
        <w:t xml:space="preserve"> prior to completion to put the work under the “work made for hire” doctrine.</w:t>
      </w:r>
    </w:p>
    <w:p w14:paraId="50F98617" w14:textId="77777777" w:rsidR="00901884" w:rsidRDefault="00901884" w:rsidP="005D1D44">
      <w:pPr>
        <w:ind w:firstLine="720"/>
        <w:jc w:val="both"/>
        <w:rPr>
          <w:rFonts w:eastAsia="Times New Roman" w:cs="Times New Roman"/>
          <w:szCs w:val="24"/>
        </w:rPr>
      </w:pPr>
      <w:r>
        <w:rPr>
          <w:rFonts w:eastAsia="Times New Roman" w:cs="Times New Roman"/>
          <w:szCs w:val="24"/>
        </w:rPr>
        <w:t xml:space="preserve">“Shall” </w:t>
      </w:r>
      <w:r w:rsidR="004A3DE6">
        <w:rPr>
          <w:rFonts w:eastAsia="Times New Roman" w:cs="Times New Roman"/>
          <w:szCs w:val="24"/>
        </w:rPr>
        <w:t xml:space="preserve">may “express simple futurity”. </w:t>
      </w:r>
      <w:r w:rsidRPr="008319A6">
        <w:rPr>
          <w:rFonts w:eastAsia="Times New Roman" w:cs="Times New Roman"/>
          <w:szCs w:val="24"/>
        </w:rPr>
        <w:t>Merriam-Webster Dictionary</w:t>
      </w:r>
      <w:r w:rsidR="004A3DE6">
        <w:rPr>
          <w:rFonts w:eastAsia="Times New Roman" w:cs="Times New Roman"/>
          <w:szCs w:val="24"/>
        </w:rPr>
        <w:t xml:space="preserve"> 11th Ed,</w:t>
      </w:r>
      <w:r>
        <w:rPr>
          <w:rFonts w:eastAsia="Times New Roman" w:cs="Times New Roman"/>
          <w:szCs w:val="24"/>
        </w:rPr>
        <w:t xml:space="preserve"> It shows “something </w:t>
      </w:r>
      <w:r w:rsidRPr="00901884">
        <w:rPr>
          <w:rFonts w:eastAsia="Times New Roman" w:cs="Times New Roman"/>
          <w:szCs w:val="24"/>
        </w:rPr>
        <w:t>that will take place or exist in the future</w:t>
      </w:r>
      <w:r w:rsidR="004A3DE6">
        <w:rPr>
          <w:rFonts w:eastAsia="Times New Roman" w:cs="Times New Roman"/>
          <w:szCs w:val="24"/>
        </w:rPr>
        <w:t xml:space="preserve">”. </w:t>
      </w:r>
      <w:proofErr w:type="gramStart"/>
      <w:r w:rsidRPr="008319A6">
        <w:rPr>
          <w:rFonts w:eastAsia="Times New Roman" w:cs="Times New Roman"/>
          <w:szCs w:val="24"/>
        </w:rPr>
        <w:t>American</w:t>
      </w:r>
      <w:r w:rsidR="003B64D4">
        <w:rPr>
          <w:rFonts w:eastAsia="Times New Roman" w:cs="Times New Roman"/>
          <w:szCs w:val="24"/>
        </w:rPr>
        <w:t xml:space="preserve"> Heritage Dictionary 4th Ed</w:t>
      </w:r>
      <w:r w:rsidR="004A3DE6">
        <w:rPr>
          <w:rFonts w:eastAsia="Times New Roman" w:cs="Times New Roman"/>
          <w:szCs w:val="24"/>
        </w:rPr>
        <w:t>.</w:t>
      </w:r>
      <w:proofErr w:type="gramEnd"/>
      <w:r>
        <w:rPr>
          <w:rFonts w:eastAsia="Times New Roman" w:cs="Times New Roman"/>
          <w:szCs w:val="24"/>
        </w:rPr>
        <w:t xml:space="preserve"> </w:t>
      </w:r>
      <w:r w:rsidR="00F25CC6">
        <w:rPr>
          <w:rFonts w:eastAsia="Times New Roman" w:cs="Times New Roman"/>
          <w:szCs w:val="24"/>
        </w:rPr>
        <w:t xml:space="preserve">The statutes states that the written instrument </w:t>
      </w:r>
      <w:r w:rsidR="00441804">
        <w:rPr>
          <w:rFonts w:eastAsia="Times New Roman" w:cs="Times New Roman"/>
          <w:szCs w:val="24"/>
        </w:rPr>
        <w:t xml:space="preserve">need to notify </w:t>
      </w:r>
      <w:r w:rsidR="0028057C">
        <w:rPr>
          <w:rFonts w:eastAsia="Times New Roman" w:cs="Times New Roman"/>
          <w:szCs w:val="24"/>
        </w:rPr>
        <w:t>them</w:t>
      </w:r>
      <w:r w:rsidR="00441804">
        <w:rPr>
          <w:rFonts w:eastAsia="Times New Roman" w:cs="Times New Roman"/>
          <w:szCs w:val="24"/>
        </w:rPr>
        <w:t xml:space="preserve"> that the work shall be considered a </w:t>
      </w:r>
      <w:r w:rsidR="00441804">
        <w:rPr>
          <w:rFonts w:eastAsia="Times New Roman" w:cs="Times New Roman"/>
          <w:szCs w:val="24"/>
        </w:rPr>
        <w:lastRenderedPageBreak/>
        <w:t>work made for hire.</w:t>
      </w:r>
      <w:r w:rsidR="0028057C">
        <w:rPr>
          <w:rFonts w:eastAsia="Times New Roman" w:cs="Times New Roman"/>
          <w:szCs w:val="24"/>
        </w:rPr>
        <w:t xml:space="preserve"> There is a sequence by this plain language that the written instrument must be</w:t>
      </w:r>
      <w:r w:rsidR="004720D0">
        <w:rPr>
          <w:rFonts w:eastAsia="Times New Roman" w:cs="Times New Roman"/>
          <w:szCs w:val="24"/>
        </w:rPr>
        <w:t xml:space="preserve"> signed before the work is finished.</w:t>
      </w:r>
    </w:p>
    <w:p w14:paraId="0F9A0284" w14:textId="77777777" w:rsidR="00806959" w:rsidRDefault="001C4482" w:rsidP="005D1D44">
      <w:pPr>
        <w:ind w:firstLine="720"/>
        <w:jc w:val="both"/>
        <w:rPr>
          <w:rFonts w:eastAsia="Times New Roman" w:cs="Times New Roman"/>
          <w:szCs w:val="24"/>
        </w:rPr>
      </w:pPr>
      <w:r>
        <w:rPr>
          <w:rFonts w:eastAsia="Times New Roman" w:cs="Times New Roman"/>
          <w:szCs w:val="24"/>
        </w:rPr>
        <w:t>Even if the Court does no</w:t>
      </w:r>
      <w:r w:rsidR="002E55A9">
        <w:rPr>
          <w:rFonts w:eastAsia="Times New Roman" w:cs="Times New Roman"/>
          <w:szCs w:val="24"/>
        </w:rPr>
        <w:t xml:space="preserve">t believe </w:t>
      </w:r>
      <w:r w:rsidR="00507563">
        <w:rPr>
          <w:rFonts w:eastAsia="Times New Roman" w:cs="Times New Roman"/>
          <w:szCs w:val="24"/>
        </w:rPr>
        <w:t xml:space="preserve">so, plain language is at best ambiguous that equally favors both parties. </w:t>
      </w:r>
      <w:r w:rsidR="007B4DC7">
        <w:rPr>
          <w:rFonts w:eastAsia="Times New Roman" w:cs="Times New Roman"/>
          <w:szCs w:val="24"/>
        </w:rPr>
        <w:t xml:space="preserve">There is </w:t>
      </w:r>
      <w:r w:rsidR="009A0DE2">
        <w:rPr>
          <w:rFonts w:eastAsia="Times New Roman" w:cs="Times New Roman"/>
          <w:szCs w:val="24"/>
        </w:rPr>
        <w:t xml:space="preserve">no affirmative authorization with regard to </w:t>
      </w:r>
      <w:r w:rsidR="00250716">
        <w:rPr>
          <w:rFonts w:eastAsia="Times New Roman" w:cs="Times New Roman"/>
          <w:szCs w:val="24"/>
        </w:rPr>
        <w:t xml:space="preserve">when </w:t>
      </w:r>
      <w:r w:rsidR="007B4DC7">
        <w:rPr>
          <w:rFonts w:eastAsia="Times New Roman" w:cs="Times New Roman"/>
          <w:szCs w:val="24"/>
        </w:rPr>
        <w:t>a written agreement must</w:t>
      </w:r>
      <w:r w:rsidR="00250716">
        <w:rPr>
          <w:rFonts w:eastAsia="Times New Roman" w:cs="Times New Roman"/>
          <w:szCs w:val="24"/>
        </w:rPr>
        <w:t xml:space="preserve"> be signed; nor is there any affirmative prohibition </w:t>
      </w:r>
      <w:r w:rsidR="007B4DC7">
        <w:rPr>
          <w:rFonts w:eastAsia="Times New Roman" w:cs="Times New Roman"/>
          <w:szCs w:val="24"/>
        </w:rPr>
        <w:t xml:space="preserve">with regard to when a written can’t be </w:t>
      </w:r>
      <w:r w:rsidR="00F84A0F">
        <w:rPr>
          <w:rFonts w:eastAsia="Times New Roman" w:cs="Times New Roman"/>
          <w:szCs w:val="24"/>
        </w:rPr>
        <w:t>signed. Under this backdrop of c</w:t>
      </w:r>
      <w:r w:rsidR="007B4DC7">
        <w:rPr>
          <w:rFonts w:eastAsia="Times New Roman" w:cs="Times New Roman"/>
          <w:szCs w:val="24"/>
        </w:rPr>
        <w:t xml:space="preserve">ongressional silence, Plaintiff can, at most, demonstrate that the statute is ambiguous, and thus without </w:t>
      </w:r>
      <w:r w:rsidR="00806959">
        <w:rPr>
          <w:rFonts w:eastAsia="Times New Roman" w:cs="Times New Roman"/>
          <w:szCs w:val="24"/>
        </w:rPr>
        <w:t>plain meaning.</w:t>
      </w:r>
    </w:p>
    <w:p w14:paraId="225F337C" w14:textId="77777777" w:rsidR="00DC3C6E" w:rsidRDefault="007B4DC7" w:rsidP="005D1D44">
      <w:pPr>
        <w:ind w:firstLine="720"/>
        <w:jc w:val="both"/>
        <w:rPr>
          <w:rFonts w:eastAsia="Times New Roman" w:cs="Times New Roman"/>
          <w:szCs w:val="24"/>
        </w:rPr>
      </w:pPr>
      <w:r>
        <w:rPr>
          <w:rFonts w:eastAsia="Times New Roman" w:cs="Times New Roman"/>
          <w:szCs w:val="24"/>
        </w:rPr>
        <w:t>Consequently, the Court will either conclude that plain language either favors the Defendants under an analysis of words, or is neutral as to this issue which leads us to look beyond the four corners of the statute.</w:t>
      </w:r>
    </w:p>
    <w:p w14:paraId="3946D1FF" w14:textId="77777777" w:rsidR="00510042" w:rsidRDefault="0033325D" w:rsidP="00510042">
      <w:pPr>
        <w:pStyle w:val="ListParagraph"/>
        <w:numPr>
          <w:ilvl w:val="0"/>
          <w:numId w:val="1"/>
        </w:numPr>
        <w:spacing w:line="240" w:lineRule="auto"/>
        <w:ind w:left="720"/>
        <w:rPr>
          <w:rFonts w:ascii="Times New Roman" w:hAnsi="Times New Roman" w:cs="Times New Roman"/>
          <w:b/>
          <w:sz w:val="24"/>
          <w:szCs w:val="24"/>
        </w:rPr>
      </w:pPr>
      <w:bookmarkStart w:id="53" w:name="OLE_LINK67"/>
      <w:bookmarkStart w:id="54" w:name="OLE_LINK68"/>
      <w:r>
        <w:rPr>
          <w:rFonts w:ascii="Times New Roman" w:hAnsi="Times New Roman" w:cs="Times New Roman"/>
          <w:b/>
          <w:sz w:val="24"/>
          <w:szCs w:val="24"/>
          <w:u w:val="single"/>
        </w:rPr>
        <w:t>THERE WOULD BE REDUNDANCY IN THE STRUCTURE OF THE STATUTE IF POST-CREATION AGREEMENTS ARE ALLOWED</w:t>
      </w:r>
    </w:p>
    <w:bookmarkEnd w:id="53"/>
    <w:bookmarkEnd w:id="54"/>
    <w:p w14:paraId="6CF2F515" w14:textId="77777777" w:rsidR="006A3DE9" w:rsidRDefault="009A0A8A" w:rsidP="005D1D44">
      <w:pPr>
        <w:ind w:firstLine="720"/>
        <w:jc w:val="both"/>
      </w:pPr>
      <w:r>
        <w:rPr>
          <w:rFonts w:cs="Times New Roman"/>
          <w:szCs w:val="24"/>
        </w:rPr>
        <w:t xml:space="preserve">One traditional canon of statutory interpretation is that the proper interpretation is one that gives meaning to </w:t>
      </w:r>
      <w:r>
        <w:rPr>
          <w:rFonts w:cs="Times New Roman"/>
          <w:i/>
          <w:szCs w:val="24"/>
        </w:rPr>
        <w:t xml:space="preserve">every </w:t>
      </w:r>
      <w:r>
        <w:rPr>
          <w:rFonts w:cs="Times New Roman"/>
          <w:szCs w:val="24"/>
        </w:rPr>
        <w:t xml:space="preserve">word.  </w:t>
      </w:r>
      <w:proofErr w:type="gramStart"/>
      <w:r>
        <w:rPr>
          <w:rFonts w:cs="Times New Roman"/>
          <w:szCs w:val="24"/>
        </w:rPr>
        <w:t xml:space="preserve">Brown &amp; Brown, </w:t>
      </w:r>
      <w:r>
        <w:rPr>
          <w:rFonts w:cs="Times New Roman"/>
          <w:szCs w:val="24"/>
          <w:u w:val="single"/>
        </w:rPr>
        <w:t>supra</w:t>
      </w:r>
      <w:r>
        <w:rPr>
          <w:rFonts w:cs="Times New Roman"/>
          <w:szCs w:val="24"/>
        </w:rPr>
        <w:t>, at 84.</w:t>
      </w:r>
      <w:proofErr w:type="gramEnd"/>
      <w:r>
        <w:rPr>
          <w:rFonts w:cs="Times New Roman"/>
          <w:szCs w:val="24"/>
        </w:rPr>
        <w:t xml:space="preserve">  </w:t>
      </w:r>
      <w:r w:rsidR="0087552C">
        <w:rPr>
          <w:rFonts w:cs="Times New Roman"/>
          <w:szCs w:val="24"/>
        </w:rPr>
        <w:t>The C</w:t>
      </w:r>
      <w:r w:rsidR="0053044E">
        <w:t xml:space="preserve">ourt </w:t>
      </w:r>
      <w:r w:rsidR="0087552C">
        <w:t>interpret</w:t>
      </w:r>
      <w:r w:rsidR="0053044E">
        <w:t>s</w:t>
      </w:r>
      <w:r w:rsidR="0087552C">
        <w:t xml:space="preserve"> a statutory provision in light of “the provisions of the whole law, and ... its object and policy.” </w:t>
      </w:r>
      <w:hyperlink r:id="rId8" w:anchor="co_pp_sp_780_43" w:history="1">
        <w:proofErr w:type="gramStart"/>
        <w:r w:rsidR="0087552C" w:rsidRPr="0081487F">
          <w:rPr>
            <w:rStyle w:val="Emphasis"/>
          </w:rPr>
          <w:t>Kelly v. Robinson,</w:t>
        </w:r>
        <w:r w:rsidR="0087552C" w:rsidRPr="0081487F">
          <w:rPr>
            <w:rStyle w:val="Hyperlink"/>
            <w:color w:val="auto"/>
            <w:u w:val="none"/>
          </w:rPr>
          <w:t xml:space="preserve"> 479 U.S. 36, 43 (1986)</w:t>
        </w:r>
      </w:hyperlink>
      <w:r w:rsidR="0087552C">
        <w:rPr>
          <w:rStyle w:val="Hyperlink"/>
          <w:color w:val="auto"/>
          <w:u w:val="none"/>
        </w:rPr>
        <w:t>.</w:t>
      </w:r>
      <w:proofErr w:type="gramEnd"/>
      <w:r w:rsidR="0087552C">
        <w:rPr>
          <w:rStyle w:val="Hyperlink"/>
          <w:color w:val="auto"/>
          <w:u w:val="none"/>
        </w:rPr>
        <w:t xml:space="preserve"> </w:t>
      </w:r>
      <w:r>
        <w:rPr>
          <w:rFonts w:cs="Times New Roman"/>
          <w:szCs w:val="24"/>
        </w:rPr>
        <w:t>The Court interprets the statute to take into account every single word, reject</w:t>
      </w:r>
      <w:r w:rsidR="00106009">
        <w:rPr>
          <w:rFonts w:cs="Times New Roman"/>
          <w:szCs w:val="24"/>
        </w:rPr>
        <w:t>s</w:t>
      </w:r>
      <w:r>
        <w:rPr>
          <w:rFonts w:cs="Times New Roman"/>
          <w:szCs w:val="24"/>
        </w:rPr>
        <w:t xml:space="preserve"> interpretations that make some words insignificant or superfluous. </w:t>
      </w:r>
      <w:proofErr w:type="gramStart"/>
      <w:r>
        <w:rPr>
          <w:rFonts w:cs="Times New Roman"/>
          <w:i/>
          <w:szCs w:val="24"/>
        </w:rPr>
        <w:t>Palm Beach County Canvassing Board v. Harris</w:t>
      </w:r>
      <w:r>
        <w:rPr>
          <w:rFonts w:cs="Times New Roman"/>
          <w:szCs w:val="24"/>
        </w:rPr>
        <w:t>, 772 So.2d 1220, 1253 (Fla. 2000).</w:t>
      </w:r>
      <w:proofErr w:type="gramEnd"/>
      <w:r w:rsidR="0087552C" w:rsidRPr="0087552C">
        <w:t xml:space="preserve"> </w:t>
      </w:r>
      <w:r w:rsidR="00AE5E1F">
        <w:t>For the reason above</w:t>
      </w:r>
      <w:r w:rsidR="000D0B9D">
        <w:t xml:space="preserve">, it naturally flows that the statute requires a written instrument </w:t>
      </w:r>
      <w:r w:rsidR="000D0B9D" w:rsidRPr="000D0B9D">
        <w:rPr>
          <w:i/>
        </w:rPr>
        <w:t>prior</w:t>
      </w:r>
      <w:r w:rsidR="000D0B9D">
        <w:t xml:space="preserve"> to the creation of work.</w:t>
      </w:r>
    </w:p>
    <w:p w14:paraId="3FB1117A" w14:textId="77777777" w:rsidR="004C5D69" w:rsidRDefault="00994FFD" w:rsidP="005D1D44">
      <w:pPr>
        <w:ind w:firstLine="720"/>
        <w:jc w:val="both"/>
      </w:pPr>
      <w:r>
        <w:t xml:space="preserve">Under </w:t>
      </w:r>
      <w:r>
        <w:rPr>
          <w:rFonts w:eastAsiaTheme="minorEastAsia" w:cs="Times New Roman"/>
          <w:szCs w:val="24"/>
          <w:lang w:eastAsia="zh-CN"/>
        </w:rPr>
        <w:t xml:space="preserve">17 U.S.C. </w:t>
      </w:r>
      <w:bookmarkStart w:id="55" w:name="OLE_LINK64"/>
      <w:r>
        <w:rPr>
          <w:rFonts w:eastAsiaTheme="minorEastAsia" w:cs="Times New Roman"/>
          <w:szCs w:val="24"/>
          <w:lang w:eastAsia="zh-CN"/>
        </w:rPr>
        <w:t>§ 102</w:t>
      </w:r>
      <w:bookmarkEnd w:id="55"/>
      <w:r w:rsidR="00BF1F9E">
        <w:rPr>
          <w:rFonts w:eastAsiaTheme="minorEastAsia" w:cs="Times New Roman"/>
          <w:szCs w:val="24"/>
          <w:lang w:eastAsia="zh-CN"/>
        </w:rPr>
        <w:t>, once the author fixes</w:t>
      </w:r>
      <w:r>
        <w:rPr>
          <w:rFonts w:eastAsiaTheme="minorEastAsia" w:cs="Times New Roman"/>
          <w:szCs w:val="24"/>
          <w:lang w:eastAsia="zh-CN"/>
        </w:rPr>
        <w:t xml:space="preserve"> the original works “in any tangible medium of expression”, the Act affords him </w:t>
      </w:r>
      <w:r w:rsidR="005931AF">
        <w:rPr>
          <w:rFonts w:eastAsiaTheme="minorEastAsia" w:cs="Times New Roman"/>
          <w:szCs w:val="24"/>
          <w:lang w:eastAsia="zh-CN"/>
        </w:rPr>
        <w:t>with copyright protection. W</w:t>
      </w:r>
      <w:r>
        <w:rPr>
          <w:rFonts w:eastAsiaTheme="minorEastAsia" w:cs="Times New Roman"/>
          <w:szCs w:val="24"/>
          <w:lang w:eastAsia="zh-CN"/>
        </w:rPr>
        <w:t xml:space="preserve">ith initial copyright interests vested in the author, ownership of the works </w:t>
      </w:r>
      <w:r w:rsidR="00573616">
        <w:rPr>
          <w:rFonts w:eastAsiaTheme="minorEastAsia" w:cs="Times New Roman"/>
          <w:szCs w:val="24"/>
          <w:lang w:eastAsia="zh-CN"/>
        </w:rPr>
        <w:t>can be</w:t>
      </w:r>
      <w:r>
        <w:rPr>
          <w:rFonts w:eastAsiaTheme="minorEastAsia" w:cs="Times New Roman"/>
          <w:szCs w:val="24"/>
          <w:lang w:eastAsia="zh-CN"/>
        </w:rPr>
        <w:t xml:space="preserve"> change</w:t>
      </w:r>
      <w:r w:rsidR="00573616">
        <w:rPr>
          <w:rFonts w:eastAsiaTheme="minorEastAsia" w:cs="Times New Roman"/>
          <w:szCs w:val="24"/>
          <w:lang w:eastAsia="zh-CN"/>
        </w:rPr>
        <w:t>d</w:t>
      </w:r>
      <w:r>
        <w:rPr>
          <w:rFonts w:eastAsiaTheme="minorEastAsia" w:cs="Times New Roman"/>
          <w:szCs w:val="24"/>
          <w:lang w:eastAsia="zh-CN"/>
        </w:rPr>
        <w:t xml:space="preserve"> by transfers. </w:t>
      </w:r>
      <w:proofErr w:type="gramStart"/>
      <w:r>
        <w:rPr>
          <w:rFonts w:eastAsiaTheme="minorEastAsia" w:cs="Times New Roman"/>
          <w:szCs w:val="24"/>
          <w:lang w:eastAsia="zh-CN"/>
        </w:rPr>
        <w:t xml:space="preserve">17 U.S.C. </w:t>
      </w:r>
      <w:bookmarkStart w:id="56" w:name="OLE_LINK65"/>
      <w:bookmarkStart w:id="57" w:name="OLE_LINK66"/>
      <w:r>
        <w:rPr>
          <w:rFonts w:eastAsiaTheme="minorEastAsia" w:cs="Times New Roman"/>
          <w:szCs w:val="24"/>
          <w:lang w:eastAsia="zh-CN"/>
        </w:rPr>
        <w:t>§ 204</w:t>
      </w:r>
      <w:r w:rsidR="00573616">
        <w:rPr>
          <w:rFonts w:eastAsiaTheme="minorEastAsia" w:cs="Times New Roman"/>
          <w:szCs w:val="24"/>
          <w:lang w:eastAsia="zh-CN"/>
        </w:rPr>
        <w:t>.</w:t>
      </w:r>
      <w:proofErr w:type="gramEnd"/>
      <w:r>
        <w:rPr>
          <w:rFonts w:eastAsiaTheme="minorEastAsia" w:cs="Times New Roman"/>
          <w:szCs w:val="24"/>
          <w:lang w:eastAsia="zh-CN"/>
        </w:rPr>
        <w:t xml:space="preserve"> </w:t>
      </w:r>
      <w:bookmarkEnd w:id="56"/>
      <w:bookmarkEnd w:id="57"/>
      <w:r w:rsidR="004632A8">
        <w:rPr>
          <w:rFonts w:eastAsiaTheme="minorEastAsia" w:cs="Times New Roman"/>
          <w:szCs w:val="24"/>
          <w:lang w:eastAsia="zh-CN"/>
        </w:rPr>
        <w:t>Under this section,</w:t>
      </w:r>
      <w:r>
        <w:rPr>
          <w:rFonts w:eastAsiaTheme="minorEastAsia" w:cs="Times New Roman"/>
          <w:szCs w:val="24"/>
          <w:lang w:eastAsia="zh-CN"/>
        </w:rPr>
        <w:t xml:space="preserve"> “</w:t>
      </w:r>
      <w:r>
        <w:t xml:space="preserve">an instrument of conveyance, or a note or memorandum of the transfer, is in </w:t>
      </w:r>
      <w:r>
        <w:lastRenderedPageBreak/>
        <w:t xml:space="preserve">writing and signed by the owner of the rights conveyed or such owner's duly authorized agent.” </w:t>
      </w:r>
      <w:r w:rsidR="007D4B6A">
        <w:t xml:space="preserve">In essence, transfer enables </w:t>
      </w:r>
      <w:r w:rsidR="00EE0AAF">
        <w:t xml:space="preserve">re-vestment of copyright ownership, after </w:t>
      </w:r>
      <w:r w:rsidR="00DD41A4">
        <w:t>initial vestment in the author, by a written instrument after creation of work.</w:t>
      </w:r>
    </w:p>
    <w:p w14:paraId="06F85010" w14:textId="77777777" w:rsidR="004C5D69" w:rsidRDefault="00770918" w:rsidP="005D1D44">
      <w:pPr>
        <w:ind w:firstLine="720"/>
        <w:jc w:val="both"/>
      </w:pPr>
      <w:r>
        <w:t xml:space="preserve">If </w:t>
      </w:r>
      <w:r w:rsidR="00365883">
        <w:t>one can relinquish his ownership rights by signed writing after creation under “work made for hire” doctrine, this would be a second method for transferring copyright ownership.</w:t>
      </w:r>
      <w:r w:rsidR="00365883" w:rsidRPr="00365883">
        <w:rPr>
          <w:rFonts w:cs="Times New Roman"/>
          <w:szCs w:val="24"/>
        </w:rPr>
        <w:t xml:space="preserve"> </w:t>
      </w:r>
      <w:r w:rsidR="00365883">
        <w:rPr>
          <w:rFonts w:cs="Times New Roman"/>
          <w:szCs w:val="24"/>
        </w:rPr>
        <w:t>This would render superfluous the language in provision § 204(a), which governs the execution of transfers of copyright ownership.</w:t>
      </w:r>
      <w:r w:rsidR="00365883" w:rsidRPr="00365883">
        <w:rPr>
          <w:rFonts w:cs="Times New Roman"/>
          <w:szCs w:val="24"/>
        </w:rPr>
        <w:t xml:space="preserve"> </w:t>
      </w:r>
      <w:r w:rsidR="00365883">
        <w:rPr>
          <w:rFonts w:cs="Times New Roman"/>
          <w:szCs w:val="24"/>
        </w:rPr>
        <w:t xml:space="preserve">§ 204(a) reads, “A transfer of copyright ownership, other than by operation of law, is not valid unless an instrument of conveyance, or a note or memorandum of the transfer, is in writing and signed by the owner of the rights conveyed or such owner’s duly authorized agent.”  Therefore, the canon against </w:t>
      </w:r>
      <w:proofErr w:type="spellStart"/>
      <w:r w:rsidR="00365883">
        <w:rPr>
          <w:rFonts w:cs="Times New Roman"/>
          <w:szCs w:val="24"/>
        </w:rPr>
        <w:t>surplusage</w:t>
      </w:r>
      <w:proofErr w:type="spellEnd"/>
      <w:r w:rsidR="00365883">
        <w:rPr>
          <w:rFonts w:cs="Times New Roman"/>
          <w:szCs w:val="24"/>
        </w:rPr>
        <w:t xml:space="preserve"> and redundancy requires the Act to be interpreted so as to mandate a signed agreement before creation.</w:t>
      </w:r>
    </w:p>
    <w:p w14:paraId="7F242803" w14:textId="77777777" w:rsidR="000D0B9D" w:rsidRDefault="00365883" w:rsidP="005D1D44">
      <w:pPr>
        <w:ind w:firstLine="720"/>
        <w:jc w:val="both"/>
        <w:rPr>
          <w:rFonts w:eastAsiaTheme="minorEastAsia" w:cs="Times New Roman"/>
          <w:szCs w:val="24"/>
          <w:lang w:eastAsia="zh-CN"/>
        </w:rPr>
      </w:pPr>
      <w:r>
        <w:t xml:space="preserve">On the other hand, </w:t>
      </w:r>
      <w:r w:rsidR="00434144">
        <w:t xml:space="preserve">our interpretation that requires a signed writing prior to work creation makes perfect sense. With the default rule of vesting copyright ownership in the author, the “work made for hire” doctrine under </w:t>
      </w:r>
      <w:r w:rsidR="00434144">
        <w:rPr>
          <w:rFonts w:eastAsiaTheme="minorEastAsia" w:cs="Times New Roman"/>
          <w:szCs w:val="24"/>
          <w:lang w:eastAsia="zh-CN"/>
        </w:rPr>
        <w:t xml:space="preserve">§ 101(2) </w:t>
      </w:r>
      <w:r w:rsidR="00434144">
        <w:t xml:space="preserve">and transfer under </w:t>
      </w:r>
      <w:r w:rsidR="00434144">
        <w:rPr>
          <w:rFonts w:eastAsiaTheme="minorEastAsia" w:cs="Times New Roman"/>
          <w:szCs w:val="24"/>
          <w:lang w:eastAsia="zh-CN"/>
        </w:rPr>
        <w:t>§ 204 provide two distinct channels to re-vest ownership by requiring a signed writing, respectively, before and after work completion.</w:t>
      </w:r>
    </w:p>
    <w:p w14:paraId="291FEFC1" w14:textId="77777777" w:rsidR="00027888" w:rsidRDefault="003449C6" w:rsidP="005D1D44">
      <w:pPr>
        <w:ind w:firstLine="720"/>
        <w:jc w:val="both"/>
      </w:pPr>
      <w:r>
        <w:t xml:space="preserve">Thus, </w:t>
      </w:r>
      <w:r w:rsidR="00027888">
        <w:t xml:space="preserve">the court should require written instrument under </w:t>
      </w:r>
      <w:bookmarkStart w:id="58" w:name="OLE_LINK59"/>
      <w:bookmarkStart w:id="59" w:name="OLE_LINK60"/>
      <w:r w:rsidR="00027888">
        <w:rPr>
          <w:rFonts w:eastAsiaTheme="minorEastAsia" w:cs="Times New Roman"/>
          <w:szCs w:val="24"/>
          <w:lang w:eastAsia="zh-CN"/>
        </w:rPr>
        <w:t xml:space="preserve">§ 101(2) </w:t>
      </w:r>
      <w:bookmarkEnd w:id="58"/>
      <w:bookmarkEnd w:id="59"/>
      <w:r w:rsidR="00027888">
        <w:rPr>
          <w:rFonts w:eastAsiaTheme="minorEastAsia" w:cs="Times New Roman"/>
          <w:szCs w:val="24"/>
          <w:lang w:eastAsia="zh-CN"/>
        </w:rPr>
        <w:t>to be prior to the work made for hire so that a clear-cut distinction could be draw between “work made for hire”</w:t>
      </w:r>
      <w:r>
        <w:rPr>
          <w:rFonts w:eastAsiaTheme="minorEastAsia" w:cs="Times New Roman"/>
          <w:szCs w:val="24"/>
          <w:lang w:eastAsia="zh-CN"/>
        </w:rPr>
        <w:t xml:space="preserve"> doctrine and transfer as to make each provision of the statute meaningful.</w:t>
      </w:r>
      <w:r w:rsidR="00F4650C">
        <w:rPr>
          <w:rFonts w:eastAsiaTheme="minorEastAsia" w:cs="Times New Roman"/>
          <w:szCs w:val="24"/>
          <w:lang w:eastAsia="zh-CN"/>
        </w:rPr>
        <w:t xml:space="preserve"> In order for a work to be considered “work made for hire”, there must be a signed written agreement prior to work creation. Or else, the boat would sail for the work to be transferred </w:t>
      </w:r>
      <w:r w:rsidR="00B17407">
        <w:rPr>
          <w:rFonts w:eastAsiaTheme="minorEastAsia" w:cs="Times New Roman"/>
          <w:szCs w:val="24"/>
          <w:lang w:eastAsia="zh-CN"/>
        </w:rPr>
        <w:t>when a written agreement</w:t>
      </w:r>
      <w:r w:rsidR="00F4650C">
        <w:rPr>
          <w:rFonts w:eastAsiaTheme="minorEastAsia" w:cs="Times New Roman"/>
          <w:szCs w:val="24"/>
          <w:lang w:eastAsia="zh-CN"/>
        </w:rPr>
        <w:t xml:space="preserve"> is signed after completion of work.</w:t>
      </w:r>
    </w:p>
    <w:p w14:paraId="493D91E9" w14:textId="77777777" w:rsidR="000D0B9D" w:rsidRPr="000F5A0D" w:rsidRDefault="00F07363" w:rsidP="000F5A0D">
      <w:pPr>
        <w:pStyle w:val="ListParagraph"/>
        <w:numPr>
          <w:ilvl w:val="0"/>
          <w:numId w:val="1"/>
        </w:numPr>
        <w:spacing w:line="240" w:lineRule="auto"/>
        <w:ind w:left="720"/>
        <w:rPr>
          <w:rFonts w:ascii="Times New Roman" w:hAnsi="Times New Roman" w:cs="Times New Roman"/>
          <w:b/>
          <w:sz w:val="24"/>
          <w:szCs w:val="24"/>
        </w:rPr>
      </w:pPr>
      <w:bookmarkStart w:id="60" w:name="OLE_LINK91"/>
      <w:bookmarkStart w:id="61" w:name="OLE_LINK92"/>
      <w:r>
        <w:rPr>
          <w:rFonts w:ascii="Times New Roman" w:hAnsi="Times New Roman" w:cs="Times New Roman"/>
          <w:b/>
          <w:sz w:val="24"/>
          <w:szCs w:val="24"/>
          <w:u w:val="single"/>
        </w:rPr>
        <w:lastRenderedPageBreak/>
        <w:t xml:space="preserve">THE LEGISLATIVE HISTORY </w:t>
      </w:r>
      <w:r w:rsidR="00D53139">
        <w:rPr>
          <w:rFonts w:ascii="Times New Roman" w:hAnsi="Times New Roman" w:cs="Times New Roman"/>
          <w:b/>
          <w:sz w:val="24"/>
          <w:szCs w:val="24"/>
          <w:u w:val="single"/>
        </w:rPr>
        <w:t>SUPPORTS THE VIEW THAT A COMMISSIONER IS THE COPYRIGHT OWNER IF AND ONLY IF THERE WAS A WRITTEN AGREEMENT SIGNED BEFORE WORK CREATION</w:t>
      </w:r>
    </w:p>
    <w:bookmarkEnd w:id="60"/>
    <w:bookmarkEnd w:id="61"/>
    <w:p w14:paraId="5A136678" w14:textId="77777777" w:rsidR="006A3DE9" w:rsidRPr="00B66CEC" w:rsidRDefault="000719EA" w:rsidP="005D1D44">
      <w:pPr>
        <w:ind w:firstLine="720"/>
        <w:jc w:val="both"/>
        <w:rPr>
          <w:rFonts w:eastAsia="Times New Roman" w:cs="Times New Roman"/>
          <w:i/>
          <w:szCs w:val="24"/>
        </w:rPr>
      </w:pPr>
      <w:r>
        <w:rPr>
          <w:rFonts w:eastAsiaTheme="minorEastAsia" w:cs="Times New Roman"/>
          <w:szCs w:val="24"/>
          <w:lang w:eastAsia="zh-CN"/>
        </w:rPr>
        <w:t xml:space="preserve">As previously stated, if the Court looks to the specific wording of the statute, </w:t>
      </w:r>
      <w:r w:rsidR="00F84A0F">
        <w:rPr>
          <w:rFonts w:eastAsiaTheme="minorEastAsia" w:cs="Times New Roman"/>
          <w:szCs w:val="24"/>
          <w:lang w:eastAsia="zh-CN"/>
        </w:rPr>
        <w:t xml:space="preserve">it would likely conclude favorably to the Defendant. If, on the other hand, the Court looks at plain language in a broader sense, it likely concludes that congressional silence renders the statute ambiguous. </w:t>
      </w:r>
      <w:r w:rsidR="0066776B">
        <w:rPr>
          <w:rFonts w:eastAsiaTheme="minorEastAsia" w:cs="Times New Roman"/>
          <w:szCs w:val="24"/>
          <w:lang w:eastAsia="zh-CN"/>
        </w:rPr>
        <w:t xml:space="preserve">If </w:t>
      </w:r>
      <w:r w:rsidR="00F84A0F">
        <w:rPr>
          <w:rFonts w:eastAsiaTheme="minorEastAsia" w:cs="Times New Roman"/>
          <w:szCs w:val="24"/>
          <w:lang w:eastAsia="zh-CN"/>
        </w:rPr>
        <w:t>so, the C</w:t>
      </w:r>
      <w:r w:rsidR="0066776B">
        <w:rPr>
          <w:rFonts w:eastAsiaTheme="minorEastAsia" w:cs="Times New Roman"/>
          <w:szCs w:val="24"/>
          <w:lang w:eastAsia="zh-CN"/>
        </w:rPr>
        <w:t xml:space="preserve">ourt will consider legislative history to ascertain a statute’s meaning and purpose. </w:t>
      </w:r>
      <w:proofErr w:type="gramStart"/>
      <w:r w:rsidR="0066776B">
        <w:rPr>
          <w:rFonts w:eastAsiaTheme="minorEastAsia" w:cs="Times New Roman"/>
          <w:i/>
          <w:szCs w:val="24"/>
          <w:lang w:eastAsia="zh-CN"/>
        </w:rPr>
        <w:t>United States v. Flores-Garcia</w:t>
      </w:r>
      <w:r w:rsidR="0066776B">
        <w:rPr>
          <w:rFonts w:eastAsiaTheme="minorEastAsia" w:cs="Times New Roman"/>
          <w:szCs w:val="24"/>
          <w:lang w:eastAsia="zh-CN"/>
        </w:rPr>
        <w:t>, 198 F. 3d 1119, 1121 (</w:t>
      </w:r>
      <w:r w:rsidR="00B66CEC">
        <w:rPr>
          <w:rFonts w:eastAsia="Times New Roman" w:cs="Times New Roman"/>
          <w:szCs w:val="24"/>
        </w:rPr>
        <w:t>9th Cir. 2000</w:t>
      </w:r>
      <w:r w:rsidR="0066776B">
        <w:rPr>
          <w:rFonts w:eastAsiaTheme="minorEastAsia" w:cs="Times New Roman"/>
          <w:szCs w:val="24"/>
          <w:lang w:eastAsia="zh-CN"/>
        </w:rPr>
        <w:t>).</w:t>
      </w:r>
      <w:proofErr w:type="gramEnd"/>
      <w:r w:rsidR="0066776B">
        <w:rPr>
          <w:rFonts w:eastAsiaTheme="minorEastAsia" w:cs="Times New Roman"/>
          <w:szCs w:val="24"/>
          <w:lang w:eastAsia="zh-CN"/>
        </w:rPr>
        <w:t xml:space="preserve"> The </w:t>
      </w:r>
      <w:r w:rsidR="00D712A1">
        <w:rPr>
          <w:rFonts w:eastAsiaTheme="minorEastAsia" w:cs="Times New Roman"/>
          <w:szCs w:val="24"/>
          <w:lang w:eastAsia="zh-CN"/>
        </w:rPr>
        <w:t xml:space="preserve">10-year </w:t>
      </w:r>
      <w:r w:rsidR="0066776B">
        <w:rPr>
          <w:rFonts w:eastAsiaTheme="minorEastAsia" w:cs="Times New Roman"/>
          <w:szCs w:val="24"/>
          <w:lang w:eastAsia="zh-CN"/>
        </w:rPr>
        <w:t xml:space="preserve">drafting history which finally </w:t>
      </w:r>
      <w:r w:rsidR="006A20C3">
        <w:rPr>
          <w:rFonts w:eastAsiaTheme="minorEastAsia" w:cs="Times New Roman"/>
          <w:szCs w:val="24"/>
          <w:lang w:eastAsia="zh-CN"/>
        </w:rPr>
        <w:t xml:space="preserve">led to the 1976 Copyright Act </w:t>
      </w:r>
      <w:r w:rsidR="001C4482">
        <w:rPr>
          <w:rFonts w:eastAsiaTheme="minorEastAsia" w:cs="Times New Roman"/>
          <w:szCs w:val="24"/>
          <w:lang w:eastAsia="zh-CN"/>
        </w:rPr>
        <w:t>strongly indicates the importance of a legislative history analysis</w:t>
      </w:r>
      <w:r w:rsidR="006A20C3">
        <w:rPr>
          <w:rFonts w:eastAsiaTheme="minorEastAsia" w:cs="Times New Roman"/>
          <w:szCs w:val="24"/>
          <w:lang w:eastAsia="zh-CN"/>
        </w:rPr>
        <w:t>.</w:t>
      </w:r>
      <w:r w:rsidR="00552437">
        <w:rPr>
          <w:rFonts w:eastAsiaTheme="minorEastAsia" w:cs="Times New Roman"/>
          <w:szCs w:val="24"/>
          <w:lang w:eastAsia="zh-CN"/>
        </w:rPr>
        <w:t xml:space="preserve"> </w:t>
      </w:r>
      <w:r w:rsidR="001C4482">
        <w:rPr>
          <w:rFonts w:eastAsiaTheme="minorEastAsia" w:cs="Times New Roman"/>
          <w:szCs w:val="24"/>
          <w:lang w:eastAsia="zh-CN"/>
        </w:rPr>
        <w:t>B</w:t>
      </w:r>
      <w:r w:rsidR="00552437">
        <w:rPr>
          <w:rFonts w:eastAsiaTheme="minorEastAsia" w:cs="Times New Roman"/>
          <w:szCs w:val="24"/>
          <w:lang w:eastAsia="zh-CN"/>
        </w:rPr>
        <w:t>ecause the Copyright Office played a major role in d</w:t>
      </w:r>
      <w:r w:rsidR="00251528">
        <w:rPr>
          <w:rFonts w:eastAsiaTheme="minorEastAsia" w:cs="Times New Roman"/>
          <w:szCs w:val="24"/>
          <w:lang w:eastAsia="zh-CN"/>
        </w:rPr>
        <w:t xml:space="preserve">rafting the statute, </w:t>
      </w:r>
      <w:r w:rsidR="00552437">
        <w:rPr>
          <w:rFonts w:eastAsiaTheme="minorEastAsia" w:cs="Times New Roman"/>
          <w:szCs w:val="24"/>
          <w:lang w:eastAsia="zh-CN"/>
        </w:rPr>
        <w:t xml:space="preserve">views </w:t>
      </w:r>
      <w:r w:rsidR="00251528">
        <w:rPr>
          <w:rFonts w:eastAsiaTheme="minorEastAsia" w:cs="Times New Roman"/>
          <w:szCs w:val="24"/>
          <w:lang w:eastAsia="zh-CN"/>
        </w:rPr>
        <w:t xml:space="preserve">of Copyright Office registers’ </w:t>
      </w:r>
      <w:r w:rsidR="00552437">
        <w:rPr>
          <w:rFonts w:eastAsiaTheme="minorEastAsia" w:cs="Times New Roman"/>
          <w:szCs w:val="24"/>
          <w:lang w:eastAsia="zh-CN"/>
        </w:rPr>
        <w:t xml:space="preserve">in the legislative history have been </w:t>
      </w:r>
      <w:r w:rsidR="00251528">
        <w:rPr>
          <w:rFonts w:eastAsiaTheme="minorEastAsia" w:cs="Times New Roman"/>
          <w:szCs w:val="24"/>
          <w:lang w:eastAsia="zh-CN"/>
        </w:rPr>
        <w:t>afforded</w:t>
      </w:r>
      <w:r w:rsidR="00552437">
        <w:rPr>
          <w:rFonts w:eastAsiaTheme="minorEastAsia" w:cs="Times New Roman"/>
          <w:szCs w:val="24"/>
          <w:lang w:eastAsia="zh-CN"/>
        </w:rPr>
        <w:t xml:space="preserve"> great weight by the courts. </w:t>
      </w:r>
      <w:r w:rsidR="00B66CEC">
        <w:rPr>
          <w:rFonts w:eastAsiaTheme="minorEastAsia" w:cs="Times New Roman"/>
          <w:i/>
          <w:szCs w:val="24"/>
          <w:lang w:eastAsia="zh-CN"/>
        </w:rPr>
        <w:t xml:space="preserve">See </w:t>
      </w:r>
      <w:r w:rsidR="00B66CEC" w:rsidRPr="00B66CEC">
        <w:rPr>
          <w:rFonts w:eastAsiaTheme="minorEastAsia" w:cs="Times New Roman"/>
          <w:i/>
          <w:szCs w:val="24"/>
          <w:lang w:eastAsia="zh-CN"/>
        </w:rPr>
        <w:t>Mills Music, Inc.</w:t>
      </w:r>
      <w:r w:rsidR="00B66CEC">
        <w:rPr>
          <w:rFonts w:eastAsiaTheme="minorEastAsia" w:cs="Times New Roman"/>
          <w:i/>
          <w:szCs w:val="24"/>
          <w:lang w:eastAsia="zh-CN"/>
        </w:rPr>
        <w:t xml:space="preserve"> v. Snyder, </w:t>
      </w:r>
      <w:r w:rsidR="00B66CEC" w:rsidRPr="00251528">
        <w:rPr>
          <w:rFonts w:eastAsiaTheme="minorEastAsia" w:cs="Times New Roman"/>
          <w:szCs w:val="24"/>
          <w:lang w:eastAsia="zh-CN"/>
        </w:rPr>
        <w:t>469 U.S. 153, (1985),</w:t>
      </w:r>
      <w:r w:rsidR="00B66CEC">
        <w:rPr>
          <w:rFonts w:eastAsiaTheme="minorEastAsia" w:cs="Times New Roman"/>
          <w:szCs w:val="24"/>
          <w:lang w:eastAsia="zh-CN"/>
        </w:rPr>
        <w:t xml:space="preserve"> </w:t>
      </w:r>
      <w:proofErr w:type="spellStart"/>
      <w:r w:rsidR="00B66CEC" w:rsidRPr="00F95DF8">
        <w:rPr>
          <w:rFonts w:eastAsia="Times New Roman" w:cs="Times New Roman"/>
          <w:i/>
          <w:szCs w:val="24"/>
        </w:rPr>
        <w:t>Cmty</w:t>
      </w:r>
      <w:proofErr w:type="spellEnd"/>
      <w:r w:rsidR="00B66CEC" w:rsidRPr="00F95DF8">
        <w:rPr>
          <w:rFonts w:eastAsia="Times New Roman" w:cs="Times New Roman"/>
          <w:i/>
          <w:szCs w:val="24"/>
        </w:rPr>
        <w:t xml:space="preserve">. </w:t>
      </w:r>
      <w:proofErr w:type="gramStart"/>
      <w:r w:rsidR="00B66CEC" w:rsidRPr="00F95DF8">
        <w:rPr>
          <w:rFonts w:eastAsia="Times New Roman" w:cs="Times New Roman"/>
          <w:i/>
          <w:szCs w:val="24"/>
        </w:rPr>
        <w:t>for</w:t>
      </w:r>
      <w:proofErr w:type="gramEnd"/>
      <w:r w:rsidR="00B66CEC" w:rsidRPr="00F95DF8">
        <w:rPr>
          <w:rFonts w:eastAsia="Times New Roman" w:cs="Times New Roman"/>
          <w:i/>
          <w:szCs w:val="24"/>
        </w:rPr>
        <w:t xml:space="preserve"> Creative Non-Violence v. Reid</w:t>
      </w:r>
      <w:r w:rsidR="00B66CEC" w:rsidRPr="00F95DF8">
        <w:rPr>
          <w:rFonts w:eastAsia="Times New Roman" w:cs="Times New Roman"/>
          <w:szCs w:val="24"/>
        </w:rPr>
        <w:t>, 490 U.S. 730</w:t>
      </w:r>
      <w:r w:rsidR="00B66CEC">
        <w:rPr>
          <w:rFonts w:eastAsia="Times New Roman" w:cs="Times New Roman"/>
          <w:szCs w:val="24"/>
        </w:rPr>
        <w:t>,</w:t>
      </w:r>
      <w:r w:rsidR="00B66CEC" w:rsidRPr="00F95DF8">
        <w:rPr>
          <w:rFonts w:eastAsia="Times New Roman" w:cs="Times New Roman"/>
          <w:szCs w:val="24"/>
        </w:rPr>
        <w:t xml:space="preserve"> (1989</w:t>
      </w:r>
      <w:r w:rsidR="00251528">
        <w:rPr>
          <w:rFonts w:eastAsia="Times New Roman" w:cs="Times New Roman"/>
          <w:szCs w:val="24"/>
        </w:rPr>
        <w:t>)</w:t>
      </w:r>
      <w:r w:rsidR="00B66CEC">
        <w:rPr>
          <w:rFonts w:eastAsia="Times New Roman" w:cs="Times New Roman"/>
          <w:szCs w:val="24"/>
        </w:rPr>
        <w:t>.</w:t>
      </w:r>
    </w:p>
    <w:p w14:paraId="354EE6BB" w14:textId="77777777" w:rsidR="003F0CE2" w:rsidRDefault="00076760" w:rsidP="005D1D44">
      <w:pPr>
        <w:ind w:firstLine="720"/>
        <w:jc w:val="both"/>
        <w:rPr>
          <w:rFonts w:eastAsia="Times New Roman" w:cs="Times New Roman"/>
          <w:szCs w:val="24"/>
        </w:rPr>
      </w:pPr>
      <w:r>
        <w:rPr>
          <w:rFonts w:eastAsiaTheme="minorEastAsia" w:cs="Times New Roman"/>
          <w:szCs w:val="24"/>
          <w:lang w:eastAsia="zh-CN"/>
        </w:rPr>
        <w:t>The federal Copyright Act</w:t>
      </w:r>
      <w:r w:rsidR="0098755C">
        <w:rPr>
          <w:rFonts w:eastAsiaTheme="minorEastAsia" w:cs="Times New Roman"/>
          <w:szCs w:val="24"/>
          <w:lang w:eastAsia="zh-CN"/>
        </w:rPr>
        <w:t xml:space="preserve"> originated in the </w:t>
      </w:r>
      <w:bookmarkStart w:id="62" w:name="OLE_LINK63"/>
      <w:bookmarkStart w:id="63" w:name="OLE_LINK69"/>
      <w:r w:rsidR="0098755C">
        <w:rPr>
          <w:rFonts w:eastAsiaTheme="minorEastAsia" w:cs="Times New Roman"/>
          <w:szCs w:val="24"/>
          <w:lang w:eastAsia="zh-CN"/>
        </w:rPr>
        <w:t>1964 revision bill</w:t>
      </w:r>
      <w:bookmarkEnd w:id="62"/>
      <w:bookmarkEnd w:id="63"/>
      <w:r w:rsidR="0098755C">
        <w:rPr>
          <w:rFonts w:eastAsiaTheme="minorEastAsia" w:cs="Times New Roman"/>
          <w:szCs w:val="24"/>
          <w:lang w:eastAsia="zh-CN"/>
        </w:rPr>
        <w:t>, which was the first draft of the legislation that extended “work for hire” doctrine beyond those prepared by an employee within the scope of his or her employment to commissioned works.</w:t>
      </w:r>
      <w:r w:rsidR="003F0CE2">
        <w:rPr>
          <w:rFonts w:eastAsiaTheme="minorEastAsia" w:cs="Times New Roman"/>
          <w:szCs w:val="24"/>
          <w:lang w:eastAsia="zh-CN"/>
        </w:rPr>
        <w:t xml:space="preserve"> The Copyright Officer Ms. Barbara Ringer introduced that</w:t>
      </w:r>
      <w:r w:rsidR="008E1860">
        <w:rPr>
          <w:rFonts w:eastAsiaTheme="minorEastAsia" w:cs="Times New Roman"/>
          <w:szCs w:val="24"/>
          <w:lang w:eastAsia="zh-CN"/>
        </w:rPr>
        <w:t>:</w:t>
      </w:r>
      <w:r>
        <w:rPr>
          <w:rFonts w:eastAsiaTheme="minorEastAsia" w:cs="Times New Roman"/>
          <w:szCs w:val="24"/>
          <w:lang w:eastAsia="zh-CN"/>
        </w:rPr>
        <w:t xml:space="preserve"> </w:t>
      </w:r>
      <w:r w:rsidR="003F0CE2">
        <w:rPr>
          <w:rFonts w:cs="Times New Roman"/>
          <w:szCs w:val="24"/>
        </w:rPr>
        <w:t>“In the preliminary draft, a work “made for hire” was defined as “a work prepared by an employee within the scope of the duties of hi</w:t>
      </w:r>
      <w:r w:rsidR="008E1860">
        <w:rPr>
          <w:rFonts w:cs="Times New Roman"/>
          <w:szCs w:val="24"/>
        </w:rPr>
        <w:t xml:space="preserve">s employment, but not </w:t>
      </w:r>
      <w:r w:rsidR="003F0CE2">
        <w:rPr>
          <w:rFonts w:cs="Times New Roman"/>
          <w:szCs w:val="24"/>
        </w:rPr>
        <w:t>including a work made on special order or commission.”</w:t>
      </w:r>
    </w:p>
    <w:p w14:paraId="2EF6654F" w14:textId="77777777" w:rsidR="006A3DE9" w:rsidRDefault="00FE472F" w:rsidP="005D1D44">
      <w:pPr>
        <w:ind w:firstLine="720"/>
        <w:jc w:val="both"/>
        <w:rPr>
          <w:rFonts w:eastAsiaTheme="minorEastAsia" w:cs="Times New Roman"/>
          <w:szCs w:val="24"/>
          <w:lang w:eastAsia="zh-CN"/>
        </w:rPr>
      </w:pPr>
      <w:r>
        <w:rPr>
          <w:rFonts w:eastAsia="Times New Roman" w:cs="Times New Roman"/>
          <w:szCs w:val="24"/>
        </w:rPr>
        <w:t xml:space="preserve">It is only after tedious discussion and meaningful compromises from </w:t>
      </w:r>
      <w:r w:rsidR="00076760">
        <w:rPr>
          <w:rFonts w:eastAsia="Times New Roman" w:cs="Times New Roman"/>
          <w:szCs w:val="24"/>
        </w:rPr>
        <w:t>both the representatives of</w:t>
      </w:r>
      <w:r>
        <w:rPr>
          <w:rFonts w:eastAsia="Times New Roman" w:cs="Times New Roman"/>
          <w:szCs w:val="24"/>
        </w:rPr>
        <w:t xml:space="preserve"> authors and film studios that current </w:t>
      </w:r>
      <w:r>
        <w:rPr>
          <w:rFonts w:eastAsiaTheme="minorEastAsia" w:cs="Times New Roman"/>
          <w:szCs w:val="24"/>
          <w:lang w:eastAsia="zh-CN"/>
        </w:rPr>
        <w:t xml:space="preserve">§ 101(2) was proposed and put in for the first time (then </w:t>
      </w:r>
      <w:bookmarkStart w:id="64" w:name="OLE_LINK87"/>
      <w:bookmarkStart w:id="65" w:name="OLE_LINK88"/>
      <w:r>
        <w:rPr>
          <w:rFonts w:eastAsiaTheme="minorEastAsia" w:cs="Times New Roman"/>
          <w:szCs w:val="24"/>
          <w:lang w:eastAsia="zh-CN"/>
        </w:rPr>
        <w:t>§ 14</w:t>
      </w:r>
      <w:bookmarkEnd w:id="64"/>
      <w:bookmarkEnd w:id="65"/>
      <w:r>
        <w:rPr>
          <w:rFonts w:eastAsiaTheme="minorEastAsia" w:cs="Times New Roman"/>
          <w:szCs w:val="24"/>
          <w:lang w:eastAsia="zh-CN"/>
        </w:rPr>
        <w:t xml:space="preserve">(b)). Because inclusion of this new category into “work made for hire” doctrine was totally new and was essentially contradictory to the previous version of Copyright Act (Copyright Act of 1909), </w:t>
      </w:r>
      <w:r w:rsidR="008E1860">
        <w:rPr>
          <w:rFonts w:eastAsiaTheme="minorEastAsia" w:cs="Times New Roman"/>
          <w:szCs w:val="24"/>
          <w:lang w:eastAsia="zh-CN"/>
        </w:rPr>
        <w:t xml:space="preserve">fearing to cause chaos or confusion, </w:t>
      </w:r>
      <w:r>
        <w:rPr>
          <w:rFonts w:eastAsiaTheme="minorEastAsia" w:cs="Times New Roman"/>
          <w:szCs w:val="24"/>
          <w:lang w:eastAsia="zh-CN"/>
        </w:rPr>
        <w:t>the legislature was very careful in drawing the scope of this category:</w:t>
      </w:r>
    </w:p>
    <w:p w14:paraId="3D994537" w14:textId="77777777" w:rsidR="008E1860" w:rsidRDefault="008E1860" w:rsidP="00334A4A">
      <w:pPr>
        <w:spacing w:line="240" w:lineRule="atLeast"/>
        <w:ind w:left="720" w:right="720"/>
        <w:jc w:val="both"/>
        <w:rPr>
          <w:rFonts w:eastAsiaTheme="minorEastAsia" w:cs="Times New Roman"/>
          <w:szCs w:val="24"/>
          <w:lang w:eastAsia="zh-CN"/>
        </w:rPr>
      </w:pPr>
      <w:r>
        <w:rPr>
          <w:rFonts w:eastAsiaTheme="minorEastAsia" w:cs="Times New Roman"/>
          <w:szCs w:val="24"/>
          <w:lang w:eastAsia="zh-CN"/>
        </w:rPr>
        <w:lastRenderedPageBreak/>
        <w:t xml:space="preserve">“Authors will simply sign these signed form contracts and thereby assign away their rights without realizing that they’re doing so. It has to be a “work prepared on special order or commission” in the first place. </w:t>
      </w:r>
      <w:r>
        <w:rPr>
          <w:rFonts w:eastAsiaTheme="minorEastAsia" w:cs="Times New Roman"/>
          <w:i/>
          <w:szCs w:val="24"/>
          <w:lang w:eastAsia="zh-CN"/>
        </w:rPr>
        <w:t>It would not be considered a “work made for hire” if the contract were signed later on-after the written,</w:t>
      </w:r>
      <w:r>
        <w:rPr>
          <w:rFonts w:eastAsiaTheme="minorEastAsia" w:cs="Times New Roman"/>
          <w:szCs w:val="24"/>
          <w:lang w:eastAsia="zh-CN"/>
        </w:rPr>
        <w:t xml:space="preserve"> for example. Moreover, and I think this was the basic reason for our acceptance of this compromise, at least there has to be specific provision to read his contract spelling this out. If the author can be presumed to read this contract and take in the consequences of what he’s signing, at least this could be a red flag to him.” H.R. Rep. No. 51-374, 89th Cong., 1st Sess., Part 5, 1964 Revision Bill with Discussions and Comments, at 145 (1965) (September 2, 1965)</w:t>
      </w:r>
    </w:p>
    <w:p w14:paraId="3C012DB1" w14:textId="77777777" w:rsidR="008E1860" w:rsidRDefault="008E1860" w:rsidP="005D1D44">
      <w:pPr>
        <w:ind w:firstLine="720"/>
        <w:jc w:val="both"/>
        <w:rPr>
          <w:rFonts w:eastAsia="Times New Roman" w:cs="Times New Roman"/>
          <w:szCs w:val="24"/>
        </w:rPr>
      </w:pPr>
    </w:p>
    <w:p w14:paraId="1442A98F" w14:textId="77777777" w:rsidR="00334A4A" w:rsidRDefault="00334A4A" w:rsidP="00173D4E">
      <w:pPr>
        <w:jc w:val="both"/>
        <w:rPr>
          <w:rFonts w:eastAsia="Times New Roman" w:cs="Times New Roman"/>
          <w:szCs w:val="24"/>
        </w:rPr>
      </w:pPr>
      <w:r>
        <w:rPr>
          <w:rFonts w:eastAsia="Times New Roman" w:cs="Times New Roman"/>
          <w:szCs w:val="24"/>
        </w:rPr>
        <w:t xml:space="preserve">Ms. Ringer, with much authority on this issue, explicitly stated that in order for a work to be considered a “work made for hire”, the written instrument has to be signed before the work. </w:t>
      </w:r>
      <w:r w:rsidR="00076760">
        <w:rPr>
          <w:rFonts w:cs="Times New Roman"/>
          <w:szCs w:val="24"/>
        </w:rPr>
        <w:t>Copyright Office r</w:t>
      </w:r>
      <w:r>
        <w:rPr>
          <w:rFonts w:cs="Times New Roman"/>
          <w:szCs w:val="24"/>
        </w:rPr>
        <w:t xml:space="preserve">egister Mr. Abraham </w:t>
      </w:r>
      <w:proofErr w:type="spellStart"/>
      <w:r>
        <w:rPr>
          <w:rFonts w:cs="Times New Roman"/>
          <w:szCs w:val="24"/>
        </w:rPr>
        <w:t>Kaminstein</w:t>
      </w:r>
      <w:proofErr w:type="spellEnd"/>
      <w:r>
        <w:rPr>
          <w:rFonts w:cs="Times New Roman"/>
          <w:szCs w:val="24"/>
        </w:rPr>
        <w:t xml:space="preserve"> also stated:</w:t>
      </w:r>
      <w:r w:rsidR="00173D4E">
        <w:rPr>
          <w:rFonts w:cs="Times New Roman"/>
          <w:szCs w:val="24"/>
        </w:rPr>
        <w:t xml:space="preserve"> </w:t>
      </w:r>
      <w:r>
        <w:rPr>
          <w:rFonts w:cs="Times New Roman"/>
          <w:szCs w:val="24"/>
        </w:rPr>
        <w:t>“</w:t>
      </w:r>
      <w:r w:rsidRPr="005A7823">
        <w:rPr>
          <w:rFonts w:cs="Times New Roman"/>
          <w:szCs w:val="24"/>
        </w:rPr>
        <w:t>The same contract signed after the work was written would not be considered to make it a work “on special order or commission.”</w:t>
      </w:r>
    </w:p>
    <w:p w14:paraId="5C6F86A6" w14:textId="77777777" w:rsidR="00334A4A" w:rsidRDefault="00334A4A" w:rsidP="005D1D44">
      <w:pPr>
        <w:ind w:firstLine="720"/>
        <w:jc w:val="both"/>
        <w:rPr>
          <w:rFonts w:eastAsiaTheme="minorEastAsia" w:cs="Times New Roman"/>
          <w:szCs w:val="24"/>
          <w:lang w:eastAsia="zh-CN"/>
        </w:rPr>
      </w:pPr>
      <w:r>
        <w:rPr>
          <w:rFonts w:eastAsia="Times New Roman" w:cs="Times New Roman"/>
          <w:szCs w:val="24"/>
        </w:rPr>
        <w:t xml:space="preserve">Ms. Ringer and Mr. </w:t>
      </w:r>
      <w:proofErr w:type="spellStart"/>
      <w:r>
        <w:rPr>
          <w:rFonts w:eastAsia="Times New Roman" w:cs="Times New Roman"/>
          <w:szCs w:val="24"/>
        </w:rPr>
        <w:t>Kaminstein</w:t>
      </w:r>
      <w:proofErr w:type="spellEnd"/>
      <w:r>
        <w:rPr>
          <w:rFonts w:eastAsia="Times New Roman" w:cs="Times New Roman"/>
          <w:szCs w:val="24"/>
        </w:rPr>
        <w:t xml:space="preserve"> had clear mind about this prior-writing requirement, and it was against this backdrop that the revision was voted in.</w:t>
      </w:r>
      <w:r w:rsidR="00564E9B">
        <w:rPr>
          <w:rFonts w:eastAsia="Times New Roman" w:cs="Times New Roman"/>
          <w:szCs w:val="24"/>
        </w:rPr>
        <w:t xml:space="preserve"> </w:t>
      </w:r>
      <w:bookmarkStart w:id="66" w:name="OLE_LINK70"/>
      <w:bookmarkStart w:id="67" w:name="OLE_LINK71"/>
      <w:r w:rsidR="00564E9B">
        <w:rPr>
          <w:rFonts w:eastAsiaTheme="minorEastAsia" w:cs="Times New Roman"/>
          <w:szCs w:val="24"/>
          <w:lang w:eastAsia="zh-CN"/>
        </w:rPr>
        <w:t>H</w:t>
      </w:r>
      <w:r w:rsidR="00346813">
        <w:rPr>
          <w:rFonts w:eastAsiaTheme="minorEastAsia" w:cs="Times New Roman"/>
          <w:szCs w:val="24"/>
          <w:lang w:eastAsia="zh-CN"/>
        </w:rPr>
        <w:t>ouse Report 94-</w:t>
      </w:r>
      <w:r w:rsidR="00564E9B">
        <w:rPr>
          <w:rFonts w:eastAsiaTheme="minorEastAsia" w:cs="Times New Roman"/>
          <w:szCs w:val="24"/>
          <w:lang w:eastAsia="zh-CN"/>
        </w:rPr>
        <w:t xml:space="preserve">1476 </w:t>
      </w:r>
      <w:bookmarkEnd w:id="66"/>
      <w:bookmarkEnd w:id="67"/>
      <w:r w:rsidR="00564E9B">
        <w:rPr>
          <w:rFonts w:eastAsiaTheme="minorEastAsia" w:cs="Times New Roman"/>
          <w:szCs w:val="24"/>
          <w:lang w:eastAsia="zh-CN"/>
        </w:rPr>
        <w:t>indicates:</w:t>
      </w:r>
    </w:p>
    <w:p w14:paraId="3D8D74E2" w14:textId="77777777" w:rsidR="00564E9B" w:rsidRPr="005A7823" w:rsidRDefault="00564E9B" w:rsidP="00564E9B">
      <w:pPr>
        <w:spacing w:line="240" w:lineRule="auto"/>
        <w:ind w:left="720" w:right="720"/>
        <w:jc w:val="both"/>
        <w:rPr>
          <w:rFonts w:cs="Times New Roman"/>
          <w:szCs w:val="24"/>
        </w:rPr>
      </w:pPr>
      <w:r>
        <w:rPr>
          <w:rFonts w:cs="Times New Roman"/>
          <w:szCs w:val="24"/>
        </w:rPr>
        <w:t>“</w:t>
      </w:r>
      <w:r w:rsidRPr="005A7823">
        <w:rPr>
          <w:rFonts w:cs="Times New Roman"/>
          <w:szCs w:val="24"/>
        </w:rPr>
        <w:t>The basic problem is how to draw a statutory line between those works written on special order or commission that should be considered as “works made for hire”, and those that should not. The definition now provided by the bill represents a compromise which, in effect, spells out those specific categories of commissioned works that can be considered “works made for hire” under certain circumstances.</w:t>
      </w:r>
      <w:r>
        <w:rPr>
          <w:rFonts w:cs="Times New Roman"/>
          <w:szCs w:val="24"/>
        </w:rPr>
        <w:t>”</w:t>
      </w:r>
      <w:r w:rsidR="000F2513">
        <w:rPr>
          <w:rFonts w:cs="Times New Roman"/>
          <w:szCs w:val="24"/>
        </w:rPr>
        <w:t xml:space="preserve"> </w:t>
      </w:r>
      <w:r w:rsidR="000F2513">
        <w:rPr>
          <w:rFonts w:eastAsiaTheme="minorEastAsia" w:cs="Times New Roman"/>
          <w:szCs w:val="24"/>
          <w:lang w:eastAsia="zh-CN"/>
        </w:rPr>
        <w:t>H.R. Rep. 94-1476, H.R. Rep. No. 1476, 94TH Cong., 2ND Sess. 1976, 1976 U.S.C.C.A.N. 5659, 1976 WL 14045 (</w:t>
      </w:r>
      <w:proofErr w:type="spellStart"/>
      <w:r w:rsidR="000F2513">
        <w:rPr>
          <w:rFonts w:eastAsiaTheme="minorEastAsia" w:cs="Times New Roman"/>
          <w:szCs w:val="24"/>
          <w:lang w:eastAsia="zh-CN"/>
        </w:rPr>
        <w:t>Leg.Hist</w:t>
      </w:r>
      <w:proofErr w:type="spellEnd"/>
      <w:r w:rsidR="000F2513">
        <w:rPr>
          <w:rFonts w:eastAsiaTheme="minorEastAsia" w:cs="Times New Roman"/>
          <w:szCs w:val="24"/>
          <w:lang w:eastAsia="zh-CN"/>
        </w:rPr>
        <w:t>.)</w:t>
      </w:r>
    </w:p>
    <w:p w14:paraId="76C9CF20" w14:textId="77777777" w:rsidR="00564E9B" w:rsidRPr="00564E9B" w:rsidRDefault="00564E9B" w:rsidP="005D1D44">
      <w:pPr>
        <w:ind w:firstLine="720"/>
        <w:jc w:val="both"/>
        <w:rPr>
          <w:rFonts w:eastAsiaTheme="minorEastAsia" w:cs="Times New Roman"/>
          <w:szCs w:val="24"/>
          <w:lang w:eastAsia="zh-CN"/>
        </w:rPr>
      </w:pPr>
    </w:p>
    <w:p w14:paraId="371BF457" w14:textId="77777777" w:rsidR="008A72B5" w:rsidRDefault="00E61C68" w:rsidP="001D71B2">
      <w:pPr>
        <w:ind w:firstLine="720"/>
        <w:jc w:val="both"/>
        <w:rPr>
          <w:rFonts w:cs="Times New Roman"/>
          <w:szCs w:val="24"/>
        </w:rPr>
      </w:pPr>
      <w:r>
        <w:rPr>
          <w:rFonts w:eastAsia="Times New Roman" w:cs="Times New Roman"/>
          <w:szCs w:val="24"/>
        </w:rPr>
        <w:t xml:space="preserve">Seen from this, </w:t>
      </w:r>
      <w:r w:rsidR="00BD6F5C">
        <w:rPr>
          <w:rFonts w:eastAsia="Times New Roman" w:cs="Times New Roman"/>
          <w:szCs w:val="24"/>
        </w:rPr>
        <w:t xml:space="preserve">Congress has been very careful with the boundaries of </w:t>
      </w:r>
      <w:r w:rsidR="00BD6F5C">
        <w:rPr>
          <w:rFonts w:eastAsiaTheme="minorEastAsia" w:cs="Times New Roman"/>
          <w:szCs w:val="24"/>
          <w:lang w:eastAsia="zh-CN"/>
        </w:rPr>
        <w:t xml:space="preserve">§ 101(2) and would even be willing insert several fixed categories into definition. </w:t>
      </w:r>
      <w:r w:rsidR="008A72B5">
        <w:rPr>
          <w:rFonts w:cs="Times New Roman"/>
          <w:szCs w:val="24"/>
        </w:rPr>
        <w:t xml:space="preserve">The limitation of commissioned works to specifically enumerated categories, and the choice of those categories, can be traced in the legislative history to two competing concerns. Authors’ representatives worried that freelance authors lacked the bargaining power to reject contractual clauses designating works as made for hire. Publishers and motion picture studios, on the other hand, </w:t>
      </w:r>
      <w:r w:rsidR="008A72B5">
        <w:rPr>
          <w:rFonts w:cs="Times New Roman"/>
          <w:szCs w:val="24"/>
        </w:rPr>
        <w:lastRenderedPageBreak/>
        <w:t>were concerned about the multiple obstacles that the reversion provisions could pose to the exploitation of a particular class of works that were normally created by independent contractors paid a flat fee, but that common industry practice had long deemed works for hire. The compromise into these categories are typical ones created by multiple authors, that publishers and motion picture studios had cited in objecting to earlier proposals to limit works made for hire to works created by employees.</w:t>
      </w:r>
    </w:p>
    <w:p w14:paraId="46796EDE" w14:textId="77777777" w:rsidR="00334A4A" w:rsidRDefault="008A72B5" w:rsidP="008A72B5">
      <w:pPr>
        <w:ind w:firstLine="720"/>
        <w:jc w:val="both"/>
        <w:rPr>
          <w:rFonts w:eastAsia="Times New Roman" w:cs="Times New Roman"/>
          <w:szCs w:val="24"/>
        </w:rPr>
      </w:pPr>
      <w:r>
        <w:rPr>
          <w:rFonts w:cs="Times New Roman"/>
          <w:szCs w:val="24"/>
        </w:rPr>
        <w:t xml:space="preserve">In interpreting the 1976 Copyright Act, courts should approach statutory ambiguities by trying to ascertain the nature of the compromise that an ambiguous provision represents in the context of the ongoing negotiations. </w:t>
      </w:r>
      <w:r w:rsidR="00BD6F5C">
        <w:rPr>
          <w:rFonts w:eastAsiaTheme="minorEastAsia" w:cs="Times New Roman"/>
          <w:szCs w:val="24"/>
          <w:lang w:eastAsia="zh-CN"/>
        </w:rPr>
        <w:t xml:space="preserve">This </w:t>
      </w:r>
      <w:r>
        <w:rPr>
          <w:rFonts w:eastAsiaTheme="minorEastAsia" w:cs="Times New Roman"/>
          <w:szCs w:val="24"/>
          <w:lang w:eastAsia="zh-CN"/>
        </w:rPr>
        <w:t xml:space="preserve">approach </w:t>
      </w:r>
      <w:r w:rsidR="00BD6F5C">
        <w:rPr>
          <w:rFonts w:eastAsiaTheme="minorEastAsia" w:cs="Times New Roman"/>
          <w:szCs w:val="24"/>
          <w:lang w:eastAsia="zh-CN"/>
        </w:rPr>
        <w:t xml:space="preserve">bolsters the argument that Congress enacted 17 U.S.C. § 101(2) with a clear mindset that a written instrument prior to the work is required, as expressed by Ms. Ringer and Mr. </w:t>
      </w:r>
      <w:proofErr w:type="spellStart"/>
      <w:r w:rsidR="00BD6F5C">
        <w:rPr>
          <w:rFonts w:eastAsiaTheme="minorEastAsia" w:cs="Times New Roman"/>
          <w:szCs w:val="24"/>
          <w:lang w:eastAsia="zh-CN"/>
        </w:rPr>
        <w:t>Kaminstein</w:t>
      </w:r>
      <w:proofErr w:type="spellEnd"/>
      <w:r w:rsidR="00BD6F5C">
        <w:rPr>
          <w:rFonts w:eastAsiaTheme="minorEastAsia" w:cs="Times New Roman"/>
          <w:szCs w:val="24"/>
          <w:lang w:eastAsia="zh-CN"/>
        </w:rPr>
        <w:t>. The legislative history supports the prior-writing requirement, and the case should be dismissed.</w:t>
      </w:r>
    </w:p>
    <w:p w14:paraId="3B9F1C81" w14:textId="77777777" w:rsidR="00E41C36" w:rsidRDefault="00D54C40" w:rsidP="00E41C36">
      <w:pPr>
        <w:pStyle w:val="ListParagraph"/>
        <w:numPr>
          <w:ilvl w:val="0"/>
          <w:numId w:val="1"/>
        </w:numPr>
        <w:spacing w:line="240" w:lineRule="auto"/>
        <w:ind w:left="720"/>
        <w:rPr>
          <w:rFonts w:ascii="Times New Roman" w:hAnsi="Times New Roman" w:cs="Times New Roman"/>
          <w:b/>
          <w:sz w:val="24"/>
          <w:szCs w:val="24"/>
        </w:rPr>
      </w:pPr>
      <w:bookmarkStart w:id="68" w:name="OLE_LINK105"/>
      <w:bookmarkStart w:id="69" w:name="OLE_LINK106"/>
      <w:r>
        <w:rPr>
          <w:rFonts w:ascii="Times New Roman" w:hAnsi="Times New Roman" w:cs="Times New Roman"/>
          <w:b/>
          <w:sz w:val="24"/>
          <w:szCs w:val="24"/>
          <w:u w:val="single"/>
        </w:rPr>
        <w:t>PUBLIC POLICYAND STATUTORY PURPOSE</w:t>
      </w:r>
      <w:r w:rsidR="00A00729">
        <w:rPr>
          <w:rFonts w:ascii="Times New Roman" w:hAnsi="Times New Roman" w:cs="Times New Roman"/>
          <w:b/>
          <w:sz w:val="24"/>
          <w:szCs w:val="24"/>
          <w:u w:val="single"/>
        </w:rPr>
        <w:t xml:space="preserve"> SUPPORTS OUR ANALYSIS THAT THERE MUST BE A WRITTEN AGREEMENT PRIOR TO WORK CREATION</w:t>
      </w:r>
    </w:p>
    <w:bookmarkEnd w:id="68"/>
    <w:bookmarkEnd w:id="69"/>
    <w:p w14:paraId="6215633E" w14:textId="77777777" w:rsidR="00DA34DF" w:rsidRDefault="00C61928" w:rsidP="005D1D44">
      <w:pPr>
        <w:ind w:firstLine="720"/>
        <w:jc w:val="both"/>
        <w:rPr>
          <w:rFonts w:eastAsiaTheme="minorEastAsia"/>
          <w:lang w:eastAsia="zh-CN"/>
        </w:rPr>
      </w:pPr>
      <w:r>
        <w:rPr>
          <w:rFonts w:eastAsia="Times New Roman" w:cs="Times New Roman"/>
          <w:szCs w:val="24"/>
        </w:rPr>
        <w:t xml:space="preserve">Public policy and statutory purpose requires the written agreement be made before the creation of the work. </w:t>
      </w:r>
      <w:r w:rsidR="002519E3">
        <w:rPr>
          <w:rFonts w:eastAsia="Times New Roman" w:cs="Times New Roman"/>
          <w:szCs w:val="24"/>
        </w:rPr>
        <w:t xml:space="preserve">Depends on the Court’s approach in plain meaning analysis, it potentially can find the statute ambiguous (under the broader analysis, instead of wording analysis). </w:t>
      </w:r>
      <w:r>
        <w:t xml:space="preserve">When </w:t>
      </w:r>
      <w:r>
        <w:rPr>
          <w:rStyle w:val="cosearchterm"/>
        </w:rPr>
        <w:t>ambiguity</w:t>
      </w:r>
      <w:r>
        <w:t xml:space="preserve"> exists in the drafting of a specific </w:t>
      </w:r>
      <w:r>
        <w:rPr>
          <w:rStyle w:val="cosearchterm"/>
        </w:rPr>
        <w:t>statute</w:t>
      </w:r>
      <w:r>
        <w:t xml:space="preserve">, then the </w:t>
      </w:r>
      <w:r>
        <w:rPr>
          <w:rStyle w:val="cosearchterm"/>
        </w:rPr>
        <w:t>court</w:t>
      </w:r>
      <w:r>
        <w:t xml:space="preserve"> look</w:t>
      </w:r>
      <w:r>
        <w:rPr>
          <w:rFonts w:eastAsiaTheme="minorEastAsia"/>
          <w:lang w:eastAsia="zh-CN"/>
        </w:rPr>
        <w:t>s</w:t>
      </w:r>
      <w:r>
        <w:t xml:space="preserve"> beyond the four corners of that section and rely on </w:t>
      </w:r>
      <w:r>
        <w:rPr>
          <w:rFonts w:eastAsiaTheme="minorEastAsia"/>
          <w:lang w:eastAsia="zh-CN"/>
        </w:rPr>
        <w:t xml:space="preserve">purpose and policy to determine the intent. </w:t>
      </w:r>
      <w:proofErr w:type="gramStart"/>
      <w:r>
        <w:rPr>
          <w:rFonts w:eastAsiaTheme="minorEastAsia"/>
          <w:i/>
          <w:lang w:eastAsia="zh-CN"/>
        </w:rPr>
        <w:t>Kelly v. Robinson</w:t>
      </w:r>
      <w:r>
        <w:rPr>
          <w:rFonts w:eastAsiaTheme="minorEastAsia"/>
          <w:lang w:eastAsia="zh-CN"/>
        </w:rPr>
        <w:t>, 479 U.S. 36 (1986).</w:t>
      </w:r>
      <w:proofErr w:type="gramEnd"/>
    </w:p>
    <w:p w14:paraId="698D2E51" w14:textId="77777777" w:rsidR="00346813" w:rsidRDefault="002519E3" w:rsidP="005D1D44">
      <w:pPr>
        <w:ind w:firstLine="720"/>
        <w:jc w:val="both"/>
        <w:rPr>
          <w:rFonts w:eastAsia="Times New Roman" w:cs="Times New Roman"/>
          <w:szCs w:val="24"/>
        </w:rPr>
      </w:pPr>
      <w:r>
        <w:rPr>
          <w:rFonts w:eastAsiaTheme="minorEastAsia"/>
          <w:lang w:eastAsia="zh-CN"/>
        </w:rPr>
        <w:t>The c</w:t>
      </w:r>
      <w:r w:rsidR="00346813">
        <w:rPr>
          <w:rFonts w:eastAsiaTheme="minorEastAsia"/>
          <w:lang w:eastAsia="zh-CN"/>
        </w:rPr>
        <w:t xml:space="preserve">onstitutional purpose of our copyright laws is to “promote” the production of creative works. U.S. Const., Art. </w:t>
      </w:r>
      <w:proofErr w:type="gramStart"/>
      <w:r w:rsidR="00346813">
        <w:rPr>
          <w:rFonts w:eastAsiaTheme="minorEastAsia"/>
          <w:lang w:eastAsia="zh-CN"/>
        </w:rPr>
        <w:t>I, §8, Cl. 8.</w:t>
      </w:r>
      <w:proofErr w:type="gramEnd"/>
      <w:r w:rsidR="00346813">
        <w:rPr>
          <w:rFonts w:eastAsiaTheme="minorEastAsia"/>
          <w:lang w:eastAsia="zh-CN"/>
        </w:rPr>
        <w:t xml:space="preserve"> Our Founding Fathers recognized that in order to stimulate authorship and intellectual expression, authors must have the economic incentive of ownership rights. </w:t>
      </w:r>
      <w:r w:rsidR="00346813">
        <w:rPr>
          <w:rFonts w:eastAsiaTheme="minorEastAsia"/>
          <w:i/>
          <w:lang w:eastAsia="zh-CN"/>
        </w:rPr>
        <w:t>Twentieth Century Music Corp. v. Aiken</w:t>
      </w:r>
      <w:r w:rsidR="00346813">
        <w:rPr>
          <w:rFonts w:eastAsiaTheme="minorEastAsia"/>
          <w:lang w:eastAsia="zh-CN"/>
        </w:rPr>
        <w:t xml:space="preserve">, 422 U.S. 151, 156 (1975). In enacting </w:t>
      </w:r>
      <w:r w:rsidR="00346813">
        <w:rPr>
          <w:rFonts w:eastAsiaTheme="minorEastAsia"/>
          <w:lang w:eastAsia="zh-CN"/>
        </w:rPr>
        <w:lastRenderedPageBreak/>
        <w:t xml:space="preserve">the Copyright Act of 1976, Congress reaffirmed this idea </w:t>
      </w:r>
      <w:r w:rsidR="00F65C2A">
        <w:rPr>
          <w:rFonts w:eastAsiaTheme="minorEastAsia"/>
          <w:lang w:eastAsia="zh-CN"/>
        </w:rPr>
        <w:t xml:space="preserve">by vesting initial copyright in the author of the work as a default rule. </w:t>
      </w:r>
      <w:proofErr w:type="gramStart"/>
      <w:r w:rsidR="004D192B">
        <w:rPr>
          <w:rFonts w:eastAsiaTheme="minorEastAsia"/>
          <w:lang w:eastAsia="zh-CN"/>
        </w:rPr>
        <w:t xml:space="preserve">17 U.S.C. </w:t>
      </w:r>
      <w:r w:rsidR="00F65C2A">
        <w:rPr>
          <w:rFonts w:eastAsiaTheme="minorEastAsia" w:cs="Times New Roman"/>
          <w:szCs w:val="24"/>
          <w:lang w:eastAsia="zh-CN"/>
        </w:rPr>
        <w:t>§</w:t>
      </w:r>
      <w:r w:rsidR="004D192B">
        <w:rPr>
          <w:rFonts w:eastAsiaTheme="minorEastAsia" w:cs="Times New Roman"/>
          <w:szCs w:val="24"/>
          <w:lang w:eastAsia="zh-CN"/>
        </w:rPr>
        <w:t xml:space="preserve"> </w:t>
      </w:r>
      <w:r w:rsidR="00F65C2A">
        <w:rPr>
          <w:rFonts w:eastAsiaTheme="minorEastAsia" w:cs="Times New Roman"/>
          <w:szCs w:val="24"/>
          <w:lang w:eastAsia="zh-CN"/>
        </w:rPr>
        <w:t>102.</w:t>
      </w:r>
      <w:proofErr w:type="gramEnd"/>
      <w:r w:rsidR="00F65C2A">
        <w:rPr>
          <w:rFonts w:eastAsiaTheme="minorEastAsia" w:cs="Times New Roman"/>
          <w:szCs w:val="24"/>
          <w:lang w:eastAsia="zh-CN"/>
        </w:rPr>
        <w:t xml:space="preserve"> And unless </w:t>
      </w:r>
      <w:r w:rsidR="00F65C2A">
        <w:rPr>
          <w:rFonts w:eastAsiaTheme="minorEastAsia"/>
          <w:lang w:eastAsia="zh-CN"/>
        </w:rPr>
        <w:t xml:space="preserve">the author has given up his rights under copyright in a clear and unequivocal manner, he retains them. </w:t>
      </w:r>
      <w:proofErr w:type="gramStart"/>
      <w:r w:rsidR="00F65C2A">
        <w:rPr>
          <w:rFonts w:eastAsiaTheme="minorEastAsia"/>
          <w:i/>
          <w:lang w:eastAsia="zh-CN"/>
        </w:rPr>
        <w:t>Warner Bros. Picture</w:t>
      </w:r>
      <w:r>
        <w:rPr>
          <w:rFonts w:eastAsiaTheme="minorEastAsia"/>
          <w:i/>
          <w:lang w:eastAsia="zh-CN"/>
        </w:rPr>
        <w:t>s, Inc. v. Columbia Broad.</w:t>
      </w:r>
      <w:proofErr w:type="gramEnd"/>
      <w:r>
        <w:rPr>
          <w:rFonts w:eastAsiaTheme="minorEastAsia"/>
          <w:i/>
          <w:lang w:eastAsia="zh-CN"/>
        </w:rPr>
        <w:t xml:space="preserve"> Sys</w:t>
      </w:r>
      <w:proofErr w:type="gramStart"/>
      <w:r>
        <w:rPr>
          <w:rFonts w:eastAsiaTheme="minorEastAsia"/>
          <w:i/>
          <w:lang w:eastAsia="zh-CN"/>
        </w:rPr>
        <w:t>.</w:t>
      </w:r>
      <w:r w:rsidR="00F65C2A">
        <w:rPr>
          <w:rFonts w:eastAsiaTheme="minorEastAsia"/>
          <w:i/>
          <w:lang w:eastAsia="zh-CN"/>
        </w:rPr>
        <w:t>,</w:t>
      </w:r>
      <w:proofErr w:type="gramEnd"/>
      <w:r w:rsidR="00F65C2A">
        <w:rPr>
          <w:rFonts w:eastAsiaTheme="minorEastAsia"/>
          <w:i/>
          <w:lang w:eastAsia="zh-CN"/>
        </w:rPr>
        <w:t xml:space="preserve"> Inc.</w:t>
      </w:r>
      <w:r w:rsidR="00F65C2A">
        <w:rPr>
          <w:rFonts w:eastAsiaTheme="minorEastAsia"/>
          <w:lang w:eastAsia="zh-CN"/>
        </w:rPr>
        <w:t xml:space="preserve">, 216 F.2d 945, 949 (9th Cir. 1954), </w:t>
      </w:r>
      <w:r w:rsidR="00F65C2A">
        <w:rPr>
          <w:rFonts w:eastAsiaTheme="minorEastAsia"/>
          <w:i/>
          <w:lang w:eastAsia="zh-CN"/>
        </w:rPr>
        <w:t>S.O.S.</w:t>
      </w:r>
      <w:r w:rsidR="00F65C2A">
        <w:rPr>
          <w:rFonts w:eastAsiaTheme="minorEastAsia"/>
          <w:lang w:eastAsia="zh-CN"/>
        </w:rPr>
        <w:t>;</w:t>
      </w:r>
      <w:r w:rsidR="00F65C2A">
        <w:rPr>
          <w:rFonts w:eastAsiaTheme="minorEastAsia"/>
          <w:i/>
          <w:lang w:eastAsia="zh-CN"/>
        </w:rPr>
        <w:t xml:space="preserve"> Inc. v. Payday, Inc.,</w:t>
      </w:r>
      <w:r w:rsidR="00F65C2A">
        <w:rPr>
          <w:rFonts w:eastAsiaTheme="minorEastAsia"/>
          <w:lang w:eastAsia="zh-CN"/>
        </w:rPr>
        <w:t xml:space="preserve"> 886 F.2d 1081, 1087-88 (9th Cir. 1989</w:t>
      </w:r>
      <w:r>
        <w:rPr>
          <w:rFonts w:eastAsiaTheme="minorEastAsia"/>
          <w:lang w:eastAsia="zh-CN"/>
        </w:rPr>
        <w:t>)</w:t>
      </w:r>
      <w:r w:rsidR="00F65C2A">
        <w:rPr>
          <w:rFonts w:eastAsiaTheme="minorEastAsia"/>
          <w:lang w:eastAsia="zh-CN"/>
        </w:rPr>
        <w:t>.</w:t>
      </w:r>
    </w:p>
    <w:p w14:paraId="6836CFBC" w14:textId="77777777" w:rsidR="00DA34DF" w:rsidRDefault="004D192B" w:rsidP="005D1D44">
      <w:pPr>
        <w:ind w:firstLine="720"/>
        <w:jc w:val="both"/>
        <w:rPr>
          <w:rFonts w:eastAsiaTheme="minorEastAsia"/>
          <w:lang w:eastAsia="zh-CN"/>
        </w:rPr>
      </w:pPr>
      <w:r>
        <w:rPr>
          <w:rFonts w:eastAsia="Times New Roman" w:cs="Times New Roman"/>
          <w:szCs w:val="24"/>
        </w:rPr>
        <w:t xml:space="preserve">One of the major concerns about adding </w:t>
      </w:r>
      <w:bookmarkStart w:id="70" w:name="OLE_LINK103"/>
      <w:bookmarkStart w:id="71" w:name="OLE_LINK104"/>
      <w:r>
        <w:rPr>
          <w:rFonts w:eastAsiaTheme="minorEastAsia" w:cs="Times New Roman"/>
          <w:szCs w:val="24"/>
          <w:lang w:eastAsia="zh-CN"/>
        </w:rPr>
        <w:t xml:space="preserve">§ 101(2) </w:t>
      </w:r>
      <w:bookmarkEnd w:id="70"/>
      <w:bookmarkEnd w:id="71"/>
      <w:r>
        <w:rPr>
          <w:rFonts w:eastAsiaTheme="minorEastAsia" w:cs="Times New Roman"/>
          <w:szCs w:val="24"/>
          <w:lang w:eastAsia="zh-CN"/>
        </w:rPr>
        <w:t xml:space="preserve">is that it might create confusion and lead the unwary authors (who are also generally in disadvantaged bargaining positions) into traps. </w:t>
      </w:r>
      <w:r w:rsidRPr="004D192B">
        <w:rPr>
          <w:rFonts w:eastAsiaTheme="minorEastAsia" w:cs="Times New Roman"/>
          <w:szCs w:val="24"/>
          <w:lang w:eastAsia="zh-CN"/>
        </w:rPr>
        <w:t xml:space="preserve">Thus, </w:t>
      </w:r>
      <w:r>
        <w:rPr>
          <w:rFonts w:eastAsiaTheme="minorEastAsia" w:cs="Times New Roman"/>
          <w:szCs w:val="24"/>
          <w:lang w:eastAsia="zh-CN"/>
        </w:rPr>
        <w:t xml:space="preserve">it would be in line with Congress to advance certainty in ownership. </w:t>
      </w:r>
      <w:bookmarkStart w:id="72" w:name="OLE_LINK76"/>
      <w:bookmarkStart w:id="73" w:name="OLE_LINK77"/>
      <w:r>
        <w:rPr>
          <w:rFonts w:eastAsiaTheme="minorEastAsia"/>
          <w:i/>
          <w:lang w:eastAsia="zh-CN"/>
        </w:rPr>
        <w:t xml:space="preserve">Schiller &amp; Schmidt, Inc. v. </w:t>
      </w:r>
      <w:proofErr w:type="spellStart"/>
      <w:r>
        <w:rPr>
          <w:rFonts w:eastAsiaTheme="minorEastAsia"/>
          <w:i/>
          <w:lang w:eastAsia="zh-CN"/>
        </w:rPr>
        <w:t>Nordisco</w:t>
      </w:r>
      <w:proofErr w:type="spellEnd"/>
      <w:r>
        <w:rPr>
          <w:rFonts w:eastAsiaTheme="minorEastAsia"/>
          <w:i/>
          <w:lang w:eastAsia="zh-CN"/>
        </w:rPr>
        <w:t xml:space="preserve"> Corp.</w:t>
      </w:r>
      <w:r>
        <w:rPr>
          <w:rFonts w:eastAsiaTheme="minorEastAsia"/>
          <w:lang w:eastAsia="zh-CN"/>
        </w:rPr>
        <w:t>, 969 F.2d 410, 413 (7th Cir. 1992)</w:t>
      </w:r>
      <w:r>
        <w:rPr>
          <w:rFonts w:eastAsiaTheme="minorEastAsia" w:cs="Times New Roman"/>
          <w:szCs w:val="24"/>
          <w:lang w:eastAsia="zh-CN"/>
        </w:rPr>
        <w:t>.</w:t>
      </w:r>
      <w:bookmarkEnd w:id="72"/>
      <w:bookmarkEnd w:id="73"/>
      <w:r>
        <w:rPr>
          <w:rFonts w:eastAsiaTheme="minorEastAsia" w:cs="Times New Roman"/>
          <w:szCs w:val="24"/>
          <w:lang w:eastAsia="zh-CN"/>
        </w:rPr>
        <w:t xml:space="preserve"> The court explained that requiring a written in</w:t>
      </w:r>
      <w:r w:rsidR="001C619A">
        <w:rPr>
          <w:rFonts w:eastAsiaTheme="minorEastAsia" w:cs="Times New Roman"/>
          <w:szCs w:val="24"/>
          <w:lang w:eastAsia="zh-CN"/>
        </w:rPr>
        <w:t>strument prior to the work advanced the main purpose of the Copyright Law as “</w:t>
      </w:r>
      <w:r w:rsidR="001C619A">
        <w:rPr>
          <w:rFonts w:eastAsiaTheme="minorEastAsia"/>
          <w:lang w:eastAsia="zh-CN"/>
        </w:rPr>
        <w:t>to make the ownership of copy right in intellectual property clear and definite, so that such property will be readily marketable.”</w:t>
      </w:r>
      <w:r w:rsidR="000041E6" w:rsidRPr="000041E6">
        <w:rPr>
          <w:rFonts w:eastAsiaTheme="minorEastAsia"/>
          <w:i/>
          <w:lang w:eastAsia="zh-CN"/>
        </w:rPr>
        <w:t xml:space="preserve"> </w:t>
      </w:r>
      <w:r w:rsidR="000041E6">
        <w:rPr>
          <w:rFonts w:eastAsiaTheme="minorEastAsia"/>
          <w:i/>
          <w:lang w:eastAsia="zh-CN"/>
        </w:rPr>
        <w:t xml:space="preserve">See Schiller &amp; Schmidt, Inc. v. </w:t>
      </w:r>
      <w:proofErr w:type="spellStart"/>
      <w:r w:rsidR="000041E6">
        <w:rPr>
          <w:rFonts w:eastAsiaTheme="minorEastAsia"/>
          <w:i/>
          <w:lang w:eastAsia="zh-CN"/>
        </w:rPr>
        <w:t>Nordisco</w:t>
      </w:r>
      <w:proofErr w:type="spellEnd"/>
      <w:r w:rsidR="000041E6">
        <w:rPr>
          <w:rFonts w:eastAsiaTheme="minorEastAsia"/>
          <w:i/>
          <w:lang w:eastAsia="zh-CN"/>
        </w:rPr>
        <w:t xml:space="preserve"> Corp.</w:t>
      </w:r>
      <w:r w:rsidR="000041E6">
        <w:rPr>
          <w:rFonts w:eastAsiaTheme="minorEastAsia"/>
          <w:lang w:eastAsia="zh-CN"/>
        </w:rPr>
        <w:t>, 969 F.2d 410, 413 (7th Cir. 1992)</w:t>
      </w:r>
      <w:r w:rsidR="000041E6">
        <w:rPr>
          <w:rFonts w:eastAsiaTheme="minorEastAsia" w:cs="Times New Roman"/>
          <w:szCs w:val="24"/>
          <w:lang w:eastAsia="zh-CN"/>
        </w:rPr>
        <w:t>.</w:t>
      </w:r>
    </w:p>
    <w:p w14:paraId="19CC583C" w14:textId="77777777" w:rsidR="001C619A" w:rsidRDefault="001C619A" w:rsidP="005D1D44">
      <w:pPr>
        <w:ind w:firstLine="720"/>
        <w:jc w:val="both"/>
        <w:rPr>
          <w:rFonts w:eastAsiaTheme="minorEastAsia" w:cs="Times New Roman"/>
          <w:szCs w:val="24"/>
          <w:lang w:eastAsia="zh-CN"/>
        </w:rPr>
      </w:pPr>
      <w:bookmarkStart w:id="74" w:name="OLE_LINK74"/>
      <w:bookmarkStart w:id="75" w:name="OLE_LINK75"/>
      <w:r>
        <w:rPr>
          <w:rFonts w:eastAsiaTheme="minorEastAsia" w:cs="Times New Roman"/>
          <w:szCs w:val="24"/>
          <w:lang w:eastAsia="zh-CN"/>
        </w:rPr>
        <w:t>This creates a black-letter rule which</w:t>
      </w:r>
      <w:r w:rsidR="001B600D">
        <w:rPr>
          <w:rFonts w:eastAsiaTheme="minorEastAsia" w:cs="Times New Roman"/>
          <w:szCs w:val="24"/>
          <w:lang w:eastAsia="zh-CN"/>
        </w:rPr>
        <w:t xml:space="preserve"> promotes uniformity and certainty that</w:t>
      </w:r>
      <w:r>
        <w:rPr>
          <w:rFonts w:eastAsiaTheme="minorEastAsia" w:cs="Times New Roman"/>
          <w:szCs w:val="24"/>
          <w:lang w:eastAsia="zh-CN"/>
        </w:rPr>
        <w:t xml:space="preserve"> would at least partly resolve the potential confusion about the scope of work made for hire under a special commission. It is strengthened by the fact that Congress also created nine bright-line categories out of which a work simply can’t be made for hire. Such a rule is consistent with Congress’ strong intention to limit the scope of § 101(2).</w:t>
      </w:r>
    </w:p>
    <w:p w14:paraId="4F61AFB7" w14:textId="77777777" w:rsidR="001C619A" w:rsidRDefault="001C619A" w:rsidP="001C619A">
      <w:pPr>
        <w:pStyle w:val="ListParagraph"/>
        <w:numPr>
          <w:ilvl w:val="0"/>
          <w:numId w:val="1"/>
        </w:numPr>
        <w:spacing w:line="240" w:lineRule="auto"/>
        <w:ind w:left="720"/>
        <w:rPr>
          <w:rFonts w:ascii="Times New Roman" w:hAnsi="Times New Roman" w:cs="Times New Roman"/>
          <w:b/>
          <w:sz w:val="24"/>
          <w:szCs w:val="24"/>
        </w:rPr>
      </w:pPr>
      <w:bookmarkStart w:id="76" w:name="OLE_LINK72"/>
      <w:bookmarkStart w:id="77" w:name="OLE_LINK73"/>
      <w:r>
        <w:rPr>
          <w:rFonts w:ascii="Times New Roman" w:hAnsi="Times New Roman" w:cs="Times New Roman"/>
          <w:b/>
          <w:sz w:val="24"/>
          <w:szCs w:val="24"/>
          <w:u w:val="single"/>
        </w:rPr>
        <w:t>CASE LAW SUPPORTS OUR ANALYSIS UNDER WHICH PLAINTIFF DOES NOT HAVE A CLAIM</w:t>
      </w:r>
    </w:p>
    <w:bookmarkEnd w:id="74"/>
    <w:bookmarkEnd w:id="75"/>
    <w:bookmarkEnd w:id="76"/>
    <w:bookmarkEnd w:id="77"/>
    <w:p w14:paraId="719EE8FA" w14:textId="77777777" w:rsidR="00431C3F" w:rsidRDefault="001B600D" w:rsidP="005D1D44">
      <w:pPr>
        <w:ind w:firstLine="720"/>
        <w:jc w:val="both"/>
        <w:rPr>
          <w:rFonts w:cs="Times New Roman"/>
          <w:szCs w:val="24"/>
        </w:rPr>
      </w:pPr>
      <w:r>
        <w:rPr>
          <w:rFonts w:cs="Times New Roman"/>
          <w:szCs w:val="24"/>
        </w:rPr>
        <w:t xml:space="preserve">The Circuit Courts have diverged on their interpretation of § 101(2).  While </w:t>
      </w:r>
      <w:r w:rsidR="00431C3F">
        <w:rPr>
          <w:rFonts w:cs="Times New Roman"/>
          <w:szCs w:val="24"/>
        </w:rPr>
        <w:t>some</w:t>
      </w:r>
      <w:r>
        <w:rPr>
          <w:rFonts w:cs="Times New Roman"/>
          <w:szCs w:val="24"/>
        </w:rPr>
        <w:t xml:space="preserve"> </w:t>
      </w:r>
      <w:r w:rsidR="00431C3F">
        <w:rPr>
          <w:rFonts w:cs="Times New Roman"/>
          <w:szCs w:val="24"/>
        </w:rPr>
        <w:t>c</w:t>
      </w:r>
      <w:r>
        <w:rPr>
          <w:rFonts w:cs="Times New Roman"/>
          <w:szCs w:val="24"/>
        </w:rPr>
        <w:t>ircuit</w:t>
      </w:r>
      <w:r w:rsidR="00431C3F">
        <w:rPr>
          <w:rFonts w:cs="Times New Roman"/>
          <w:szCs w:val="24"/>
        </w:rPr>
        <w:t>s</w:t>
      </w:r>
      <w:r>
        <w:rPr>
          <w:rFonts w:cs="Times New Roman"/>
          <w:szCs w:val="24"/>
        </w:rPr>
        <w:t xml:space="preserve"> construed the provision to require a signed writing to precede work creation in order to ascertain the buyer as the owner, </w:t>
      </w:r>
      <w:r w:rsidR="00431C3F">
        <w:rPr>
          <w:rFonts w:cs="Times New Roman"/>
          <w:szCs w:val="24"/>
        </w:rPr>
        <w:t>other c</w:t>
      </w:r>
      <w:r>
        <w:rPr>
          <w:rFonts w:cs="Times New Roman"/>
          <w:szCs w:val="24"/>
        </w:rPr>
        <w:t>ircuit</w:t>
      </w:r>
      <w:r w:rsidR="00431C3F">
        <w:rPr>
          <w:rFonts w:cs="Times New Roman"/>
          <w:szCs w:val="24"/>
        </w:rPr>
        <w:t>s</w:t>
      </w:r>
      <w:r>
        <w:rPr>
          <w:rFonts w:cs="Times New Roman"/>
          <w:szCs w:val="24"/>
        </w:rPr>
        <w:t xml:space="preserve"> held that the agreement could be signed at any time – before or after work creation.</w:t>
      </w:r>
    </w:p>
    <w:p w14:paraId="785CB56E" w14:textId="77777777" w:rsidR="00680AB7" w:rsidRDefault="00477D04" w:rsidP="005D1D44">
      <w:pPr>
        <w:ind w:firstLine="720"/>
        <w:jc w:val="both"/>
        <w:rPr>
          <w:rFonts w:eastAsiaTheme="minorEastAsia" w:cs="Times New Roman"/>
          <w:szCs w:val="24"/>
          <w:lang w:eastAsia="zh-CN"/>
        </w:rPr>
      </w:pPr>
      <w:r>
        <w:rPr>
          <w:rFonts w:eastAsiaTheme="minorEastAsia" w:cs="Times New Roman"/>
          <w:szCs w:val="24"/>
          <w:lang w:eastAsia="zh-CN"/>
        </w:rPr>
        <w:lastRenderedPageBreak/>
        <w:t xml:space="preserve">In </w:t>
      </w:r>
      <w:bookmarkStart w:id="78" w:name="OLE_LINK110"/>
      <w:bookmarkStart w:id="79" w:name="OLE_LINK111"/>
      <w:r>
        <w:rPr>
          <w:rFonts w:eastAsiaTheme="minorEastAsia" w:cs="Times New Roman"/>
          <w:i/>
          <w:szCs w:val="24"/>
          <w:lang w:eastAsia="zh-CN"/>
        </w:rPr>
        <w:t xml:space="preserve">Schiller &amp; Schmidt, Inc. v. </w:t>
      </w:r>
      <w:proofErr w:type="spellStart"/>
      <w:r>
        <w:rPr>
          <w:rFonts w:eastAsiaTheme="minorEastAsia" w:cs="Times New Roman"/>
          <w:i/>
          <w:szCs w:val="24"/>
          <w:lang w:eastAsia="zh-CN"/>
        </w:rPr>
        <w:t>Nordisco</w:t>
      </w:r>
      <w:proofErr w:type="spellEnd"/>
      <w:r>
        <w:rPr>
          <w:rFonts w:eastAsiaTheme="minorEastAsia" w:cs="Times New Roman"/>
          <w:i/>
          <w:szCs w:val="24"/>
          <w:lang w:eastAsia="zh-CN"/>
        </w:rPr>
        <w:t xml:space="preserve"> Corp</w:t>
      </w:r>
      <w:bookmarkEnd w:id="78"/>
      <w:bookmarkEnd w:id="79"/>
      <w:r>
        <w:rPr>
          <w:rFonts w:eastAsiaTheme="minorEastAsia" w:cs="Times New Roman"/>
          <w:i/>
          <w:szCs w:val="24"/>
          <w:lang w:eastAsia="zh-CN"/>
        </w:rPr>
        <w:t>.</w:t>
      </w:r>
      <w:r>
        <w:rPr>
          <w:rFonts w:eastAsiaTheme="minorEastAsia" w:cs="Times New Roman"/>
          <w:szCs w:val="24"/>
          <w:lang w:eastAsia="zh-CN"/>
        </w:rPr>
        <w:t>,</w:t>
      </w:r>
      <w:r w:rsidRPr="00477D04">
        <w:rPr>
          <w:rFonts w:eastAsiaTheme="minorEastAsia" w:cs="Times New Roman"/>
          <w:szCs w:val="24"/>
          <w:lang w:eastAsia="zh-CN"/>
        </w:rPr>
        <w:t xml:space="preserve"> </w:t>
      </w:r>
      <w:r>
        <w:rPr>
          <w:rFonts w:eastAsiaTheme="minorEastAsia" w:cs="Times New Roman"/>
          <w:szCs w:val="24"/>
          <w:lang w:eastAsia="zh-CN"/>
        </w:rPr>
        <w:t xml:space="preserve">the Seventh Circuit held that a purported work for hire agreement, signed by a freelance photographer several years after he took photographs on special commission for the plaintiff's mail order </w:t>
      </w:r>
      <w:r w:rsidR="005D750B">
        <w:rPr>
          <w:rFonts w:eastAsiaTheme="minorEastAsia" w:cs="Times New Roman"/>
          <w:szCs w:val="24"/>
          <w:lang w:eastAsia="zh-CN"/>
        </w:rPr>
        <w:t xml:space="preserve">catalog, did not satisfy 17 U.S.C. </w:t>
      </w:r>
      <w:r>
        <w:rPr>
          <w:rFonts w:eastAsiaTheme="minorEastAsia" w:cs="Times New Roman"/>
          <w:szCs w:val="24"/>
          <w:lang w:eastAsia="zh-CN"/>
        </w:rPr>
        <w:t xml:space="preserve"> </w:t>
      </w:r>
      <w:r w:rsidR="005D750B">
        <w:rPr>
          <w:rFonts w:eastAsiaTheme="minorEastAsia"/>
          <w:lang w:eastAsia="zh-CN"/>
        </w:rPr>
        <w:t xml:space="preserve">§ </w:t>
      </w:r>
      <w:r>
        <w:rPr>
          <w:rFonts w:eastAsiaTheme="minorEastAsia" w:cs="Times New Roman"/>
          <w:szCs w:val="24"/>
          <w:lang w:eastAsia="zh-CN"/>
        </w:rPr>
        <w:t>101(2) because it “came too late”.</w:t>
      </w:r>
      <w:r w:rsidR="005D750B">
        <w:rPr>
          <w:rFonts w:eastAsiaTheme="minorEastAsia" w:cs="Times New Roman"/>
          <w:szCs w:val="24"/>
          <w:lang w:eastAsia="zh-CN"/>
        </w:rPr>
        <w:t xml:space="preserve"> </w:t>
      </w:r>
      <w:bookmarkStart w:id="80" w:name="OLE_LINK78"/>
      <w:bookmarkStart w:id="81" w:name="OLE_LINK79"/>
      <w:r w:rsidR="00752734" w:rsidRPr="0088332A">
        <w:rPr>
          <w:rFonts w:eastAsia="Times New Roman" w:cs="Times New Roman"/>
          <w:i/>
          <w:szCs w:val="24"/>
        </w:rPr>
        <w:t>S</w:t>
      </w:r>
      <w:r w:rsidR="00752734">
        <w:rPr>
          <w:rFonts w:eastAsia="Times New Roman" w:cs="Times New Roman"/>
          <w:i/>
          <w:szCs w:val="24"/>
        </w:rPr>
        <w:t>ee S</w:t>
      </w:r>
      <w:r w:rsidR="00752734" w:rsidRPr="0088332A">
        <w:rPr>
          <w:rFonts w:eastAsia="Times New Roman" w:cs="Times New Roman"/>
          <w:i/>
          <w:szCs w:val="24"/>
        </w:rPr>
        <w:t xml:space="preserve">chiller &amp; Schmidt, Inc. v. </w:t>
      </w:r>
      <w:proofErr w:type="spellStart"/>
      <w:r w:rsidR="00752734" w:rsidRPr="0088332A">
        <w:rPr>
          <w:rFonts w:eastAsia="Times New Roman" w:cs="Times New Roman"/>
          <w:i/>
          <w:szCs w:val="24"/>
        </w:rPr>
        <w:t>Nordisco</w:t>
      </w:r>
      <w:proofErr w:type="spellEnd"/>
      <w:r w:rsidR="00752734" w:rsidRPr="0088332A">
        <w:rPr>
          <w:rFonts w:eastAsia="Times New Roman" w:cs="Times New Roman"/>
          <w:i/>
          <w:szCs w:val="24"/>
        </w:rPr>
        <w:t xml:space="preserve"> Corp.</w:t>
      </w:r>
      <w:r w:rsidR="00752734" w:rsidRPr="0088332A">
        <w:rPr>
          <w:rFonts w:eastAsia="Times New Roman" w:cs="Times New Roman"/>
          <w:szCs w:val="24"/>
        </w:rPr>
        <w:t>, 969 F.2d 410, 415 (7th Cir. 1992)</w:t>
      </w:r>
      <w:bookmarkEnd w:id="80"/>
      <w:bookmarkEnd w:id="81"/>
      <w:r w:rsidR="00752734">
        <w:rPr>
          <w:rFonts w:eastAsia="Times New Roman" w:cs="Times New Roman"/>
          <w:szCs w:val="24"/>
        </w:rPr>
        <w:t xml:space="preserve"> </w:t>
      </w:r>
      <w:proofErr w:type="gramStart"/>
      <w:r w:rsidR="005D750B">
        <w:rPr>
          <w:rFonts w:eastAsiaTheme="minorEastAsia" w:cs="Times New Roman"/>
          <w:szCs w:val="24"/>
          <w:lang w:eastAsia="zh-CN"/>
        </w:rPr>
        <w:t>The</w:t>
      </w:r>
      <w:proofErr w:type="gramEnd"/>
      <w:r w:rsidR="005D750B">
        <w:rPr>
          <w:rFonts w:eastAsiaTheme="minorEastAsia" w:cs="Times New Roman"/>
          <w:szCs w:val="24"/>
          <w:lang w:eastAsia="zh-CN"/>
        </w:rPr>
        <w:t xml:space="preserve"> court reasoned that that the purpose of the writing requirement was more than a statute of frauds issue. Requiring the work for hire agreement to be signed prior to creation of the work advanced one of the main purposes of copyright law being “to make the ownership of property rights in intellectual property clear and definite, so that such property will be readily marketable.”</w:t>
      </w:r>
      <w:r w:rsidR="005D750B" w:rsidRPr="005D750B">
        <w:rPr>
          <w:rFonts w:eastAsiaTheme="minorEastAsia" w:cs="Times New Roman"/>
          <w:szCs w:val="24"/>
          <w:lang w:eastAsia="zh-CN"/>
        </w:rPr>
        <w:t xml:space="preserve"> </w:t>
      </w:r>
      <w:r w:rsidR="005D750B">
        <w:rPr>
          <w:rFonts w:eastAsiaTheme="minorEastAsia" w:cs="Times New Roman"/>
          <w:szCs w:val="24"/>
          <w:lang w:eastAsia="zh-CN"/>
        </w:rPr>
        <w:t>The court emphasized the need to identify the owner of these rights, especially when the owner is not the creator, a situation that can be a possible source of confusion to third parties who wish to either own or gain use of the work.</w:t>
      </w:r>
    </w:p>
    <w:p w14:paraId="17A92B7C" w14:textId="77777777" w:rsidR="005D750B" w:rsidRDefault="005D750B" w:rsidP="005D750B">
      <w:pPr>
        <w:ind w:firstLine="720"/>
        <w:jc w:val="both"/>
        <w:rPr>
          <w:rFonts w:eastAsiaTheme="minorEastAsia" w:cs="Times New Roman"/>
          <w:szCs w:val="24"/>
          <w:lang w:eastAsia="zh-CN"/>
        </w:rPr>
      </w:pPr>
      <w:r>
        <w:rPr>
          <w:rFonts w:eastAsiaTheme="minorEastAsia" w:cs="Times New Roman"/>
          <w:szCs w:val="24"/>
          <w:lang w:eastAsia="zh-CN"/>
        </w:rPr>
        <w:t xml:space="preserve">In </w:t>
      </w:r>
      <w:proofErr w:type="spellStart"/>
      <w:r>
        <w:rPr>
          <w:rFonts w:eastAsiaTheme="minorEastAsia" w:cs="Times New Roman"/>
          <w:i/>
          <w:szCs w:val="24"/>
          <w:lang w:eastAsia="zh-CN"/>
        </w:rPr>
        <w:t>Glad</w:t>
      </w:r>
      <w:r w:rsidR="00752734">
        <w:rPr>
          <w:rFonts w:eastAsiaTheme="minorEastAsia" w:cs="Times New Roman"/>
          <w:i/>
          <w:szCs w:val="24"/>
          <w:lang w:eastAsia="zh-CN"/>
        </w:rPr>
        <w:t>well</w:t>
      </w:r>
      <w:proofErr w:type="spellEnd"/>
      <w:r w:rsidR="00752734">
        <w:rPr>
          <w:rFonts w:eastAsiaTheme="minorEastAsia" w:cs="Times New Roman"/>
          <w:i/>
          <w:szCs w:val="24"/>
          <w:lang w:eastAsia="zh-CN"/>
        </w:rPr>
        <w:t xml:space="preserve"> Gov't Services, Inc. v. </w:t>
      </w:r>
      <w:proofErr w:type="spellStart"/>
      <w:r w:rsidR="00752734">
        <w:rPr>
          <w:rFonts w:eastAsiaTheme="minorEastAsia" w:cs="Times New Roman"/>
          <w:i/>
          <w:szCs w:val="24"/>
          <w:lang w:eastAsia="zh-CN"/>
        </w:rPr>
        <w:t>Cnty</w:t>
      </w:r>
      <w:proofErr w:type="spellEnd"/>
      <w:r w:rsidR="00752734">
        <w:rPr>
          <w:rFonts w:eastAsiaTheme="minorEastAsia" w:cs="Times New Roman"/>
          <w:i/>
          <w:szCs w:val="24"/>
          <w:lang w:eastAsia="zh-CN"/>
        </w:rPr>
        <w:t>.</w:t>
      </w:r>
      <w:r>
        <w:rPr>
          <w:rFonts w:eastAsiaTheme="minorEastAsia" w:cs="Times New Roman"/>
          <w:i/>
          <w:szCs w:val="24"/>
          <w:lang w:eastAsia="zh-CN"/>
        </w:rPr>
        <w:t xml:space="preserve"> </w:t>
      </w:r>
      <w:proofErr w:type="gramStart"/>
      <w:r>
        <w:rPr>
          <w:rFonts w:eastAsiaTheme="minorEastAsia" w:cs="Times New Roman"/>
          <w:i/>
          <w:szCs w:val="24"/>
          <w:lang w:eastAsia="zh-CN"/>
        </w:rPr>
        <w:t>of</w:t>
      </w:r>
      <w:proofErr w:type="gramEnd"/>
      <w:r>
        <w:rPr>
          <w:rFonts w:eastAsiaTheme="minorEastAsia" w:cs="Times New Roman"/>
          <w:i/>
          <w:szCs w:val="24"/>
          <w:lang w:eastAsia="zh-CN"/>
        </w:rPr>
        <w:t xml:space="preserve"> Marin</w:t>
      </w:r>
      <w:r>
        <w:rPr>
          <w:rFonts w:eastAsiaTheme="minorEastAsia" w:cs="Times New Roman"/>
          <w:szCs w:val="24"/>
          <w:lang w:eastAsia="zh-CN"/>
        </w:rPr>
        <w:t xml:space="preserve">, the court adopted the </w:t>
      </w:r>
      <w:r>
        <w:rPr>
          <w:rFonts w:eastAsiaTheme="minorEastAsia" w:cs="Times New Roman"/>
          <w:i/>
          <w:szCs w:val="24"/>
          <w:lang w:eastAsia="zh-CN"/>
        </w:rPr>
        <w:t>Schiller &amp; Schmidt, Inc.</w:t>
      </w:r>
      <w:r>
        <w:rPr>
          <w:rFonts w:eastAsiaTheme="minorEastAsia" w:cs="Times New Roman"/>
          <w:szCs w:val="24"/>
          <w:lang w:eastAsia="zh-CN"/>
        </w:rPr>
        <w:t xml:space="preserve">’s ruling. </w:t>
      </w:r>
      <w:r w:rsidR="00752734" w:rsidRPr="0088332A">
        <w:rPr>
          <w:rFonts w:eastAsia="Times New Roman" w:cs="Times New Roman"/>
          <w:i/>
          <w:szCs w:val="24"/>
        </w:rPr>
        <w:t>S</w:t>
      </w:r>
      <w:r w:rsidR="00752734">
        <w:rPr>
          <w:rFonts w:eastAsia="Times New Roman" w:cs="Times New Roman"/>
          <w:i/>
          <w:szCs w:val="24"/>
        </w:rPr>
        <w:t>ee S</w:t>
      </w:r>
      <w:r w:rsidR="00752734" w:rsidRPr="0088332A">
        <w:rPr>
          <w:rFonts w:eastAsia="Times New Roman" w:cs="Times New Roman"/>
          <w:i/>
          <w:szCs w:val="24"/>
        </w:rPr>
        <w:t xml:space="preserve">chiller &amp; Schmidt, Inc. v. </w:t>
      </w:r>
      <w:proofErr w:type="spellStart"/>
      <w:r w:rsidR="00752734" w:rsidRPr="0088332A">
        <w:rPr>
          <w:rFonts w:eastAsia="Times New Roman" w:cs="Times New Roman"/>
          <w:i/>
          <w:szCs w:val="24"/>
        </w:rPr>
        <w:t>Nordisco</w:t>
      </w:r>
      <w:proofErr w:type="spellEnd"/>
      <w:r w:rsidR="00752734" w:rsidRPr="0088332A">
        <w:rPr>
          <w:rFonts w:eastAsia="Times New Roman" w:cs="Times New Roman"/>
          <w:i/>
          <w:szCs w:val="24"/>
        </w:rPr>
        <w:t xml:space="preserve"> Corp.</w:t>
      </w:r>
      <w:r w:rsidR="00752734" w:rsidRPr="0088332A">
        <w:rPr>
          <w:rFonts w:eastAsia="Times New Roman" w:cs="Times New Roman"/>
          <w:szCs w:val="24"/>
        </w:rPr>
        <w:t>, 969 F.2d 410, 415 (7th Cir. 1992)</w:t>
      </w:r>
      <w:r w:rsidR="00752734">
        <w:rPr>
          <w:rFonts w:eastAsia="Times New Roman" w:cs="Times New Roman"/>
          <w:szCs w:val="24"/>
        </w:rPr>
        <w:t xml:space="preserve">. </w:t>
      </w:r>
      <w:proofErr w:type="spellStart"/>
      <w:r>
        <w:rPr>
          <w:rFonts w:eastAsiaTheme="minorEastAsia" w:cs="Times New Roman"/>
          <w:szCs w:val="24"/>
          <w:lang w:eastAsia="zh-CN"/>
        </w:rPr>
        <w:t>Gladwell</w:t>
      </w:r>
      <w:proofErr w:type="spellEnd"/>
      <w:r>
        <w:rPr>
          <w:rFonts w:eastAsiaTheme="minorEastAsia" w:cs="Times New Roman"/>
          <w:szCs w:val="24"/>
          <w:lang w:eastAsia="zh-CN"/>
        </w:rPr>
        <w:t xml:space="preserve"> had authored and obtained copyright protection in certain pre-existing materials that pre-dated the written contract signed between the two parties. The court ruled that the written contract did not make the pre-existing material works-made-for-hire since it was signed after the completion of the works.</w:t>
      </w:r>
    </w:p>
    <w:p w14:paraId="4FF5E486" w14:textId="77777777" w:rsidR="005D750B" w:rsidRDefault="005D750B" w:rsidP="005D750B">
      <w:pPr>
        <w:ind w:firstLine="720"/>
        <w:jc w:val="both"/>
        <w:rPr>
          <w:rFonts w:eastAsiaTheme="minorEastAsia" w:cs="Times New Roman"/>
          <w:szCs w:val="24"/>
          <w:lang w:eastAsia="zh-CN"/>
        </w:rPr>
      </w:pPr>
      <w:r>
        <w:rPr>
          <w:rFonts w:eastAsiaTheme="minorEastAsia" w:cs="Times New Roman"/>
          <w:szCs w:val="24"/>
          <w:lang w:eastAsia="zh-CN"/>
        </w:rPr>
        <w:t xml:space="preserve">In </w:t>
      </w:r>
      <w:proofErr w:type="spellStart"/>
      <w:r>
        <w:rPr>
          <w:rFonts w:eastAsiaTheme="minorEastAsia" w:cs="Times New Roman"/>
          <w:i/>
          <w:szCs w:val="24"/>
          <w:lang w:eastAsia="zh-CN"/>
        </w:rPr>
        <w:t>Armento</w:t>
      </w:r>
      <w:proofErr w:type="spellEnd"/>
      <w:r>
        <w:rPr>
          <w:rFonts w:eastAsiaTheme="minorEastAsia" w:cs="Times New Roman"/>
          <w:i/>
          <w:szCs w:val="24"/>
          <w:lang w:eastAsia="zh-CN"/>
        </w:rPr>
        <w:t xml:space="preserve"> v. Laser Image, Inc.</w:t>
      </w:r>
      <w:r>
        <w:rPr>
          <w:rFonts w:eastAsiaTheme="minorEastAsia" w:cs="Times New Roman"/>
          <w:szCs w:val="24"/>
          <w:lang w:eastAsia="zh-CN"/>
        </w:rPr>
        <w:t xml:space="preserve">, </w:t>
      </w:r>
      <w:proofErr w:type="spellStart"/>
      <w:r>
        <w:rPr>
          <w:rFonts w:eastAsiaTheme="minorEastAsia" w:cs="Times New Roman"/>
          <w:szCs w:val="24"/>
          <w:lang w:eastAsia="zh-CN"/>
        </w:rPr>
        <w:t>Armento</w:t>
      </w:r>
      <w:proofErr w:type="spellEnd"/>
      <w:r>
        <w:rPr>
          <w:rFonts w:eastAsiaTheme="minorEastAsia" w:cs="Times New Roman"/>
          <w:szCs w:val="24"/>
          <w:lang w:eastAsia="zh-CN"/>
        </w:rPr>
        <w:t xml:space="preserve"> created illustrations for a “the best of Asheville” map published by the individual commissioning the illustrations. </w:t>
      </w:r>
      <w:proofErr w:type="spellStart"/>
      <w:proofErr w:type="gramStart"/>
      <w:r>
        <w:rPr>
          <w:rFonts w:eastAsiaTheme="minorEastAsia" w:cs="Times New Roman"/>
          <w:i/>
          <w:szCs w:val="24"/>
          <w:lang w:eastAsia="zh-CN"/>
        </w:rPr>
        <w:t>Armento</w:t>
      </w:r>
      <w:proofErr w:type="spellEnd"/>
      <w:r>
        <w:rPr>
          <w:rFonts w:eastAsiaTheme="minorEastAsia" w:cs="Times New Roman"/>
          <w:i/>
          <w:szCs w:val="24"/>
          <w:lang w:eastAsia="zh-CN"/>
        </w:rPr>
        <w:t xml:space="preserve"> v. Laser Image, Inc.</w:t>
      </w:r>
      <w:r>
        <w:rPr>
          <w:rFonts w:eastAsiaTheme="minorEastAsia" w:cs="Times New Roman"/>
          <w:szCs w:val="24"/>
          <w:lang w:eastAsia="zh-CN"/>
        </w:rPr>
        <w:t>, 950 F. Supp. 719, 730 (W.D.N.C. 1996).</w:t>
      </w:r>
      <w:proofErr w:type="gramEnd"/>
      <w:r>
        <w:rPr>
          <w:rFonts w:eastAsiaTheme="minorEastAsia" w:cs="Times New Roman"/>
          <w:szCs w:val="24"/>
          <w:lang w:eastAsia="zh-CN"/>
        </w:rPr>
        <w:t xml:space="preserve"> The court determined that although the writing did not specifically use the term “work for hire,” it was still c</w:t>
      </w:r>
      <w:r w:rsidR="00CF415D">
        <w:rPr>
          <w:rFonts w:eastAsiaTheme="minorEastAsia" w:cs="Times New Roman"/>
          <w:szCs w:val="24"/>
          <w:lang w:eastAsia="zh-CN"/>
        </w:rPr>
        <w:t xml:space="preserve">onsidered a work made for hire, for the fact that </w:t>
      </w:r>
      <w:r>
        <w:rPr>
          <w:rFonts w:eastAsiaTheme="minorEastAsia" w:cs="Times New Roman"/>
          <w:szCs w:val="24"/>
          <w:lang w:eastAsia="zh-CN"/>
        </w:rPr>
        <w:t>the parties had signed a contract assigning all copyright interest</w:t>
      </w:r>
      <w:r w:rsidR="00CF415D">
        <w:rPr>
          <w:rFonts w:eastAsiaTheme="minorEastAsia" w:cs="Times New Roman"/>
          <w:szCs w:val="24"/>
          <w:lang w:eastAsia="zh-CN"/>
        </w:rPr>
        <w:t>s</w:t>
      </w:r>
      <w:r>
        <w:rPr>
          <w:rFonts w:eastAsiaTheme="minorEastAsia" w:cs="Times New Roman"/>
          <w:szCs w:val="24"/>
          <w:lang w:eastAsia="zh-CN"/>
        </w:rPr>
        <w:t xml:space="preserve"> to the individual commissioning the wor</w:t>
      </w:r>
      <w:r w:rsidR="00CF415D">
        <w:rPr>
          <w:rFonts w:eastAsiaTheme="minorEastAsia" w:cs="Times New Roman"/>
          <w:szCs w:val="24"/>
          <w:lang w:eastAsia="zh-CN"/>
        </w:rPr>
        <w:t xml:space="preserve">k, before the work was created. The court clearly concerns itself with </w:t>
      </w:r>
      <w:r w:rsidR="00CF415D">
        <w:rPr>
          <w:rFonts w:eastAsiaTheme="minorEastAsia" w:cs="Times New Roman"/>
          <w:szCs w:val="24"/>
          <w:lang w:eastAsia="zh-CN"/>
        </w:rPr>
        <w:lastRenderedPageBreak/>
        <w:t xml:space="preserve">written clarity in allocation of copyright interests in a work before it’s created. A </w:t>
      </w:r>
      <w:r w:rsidR="00CF415D" w:rsidRPr="00CF415D">
        <w:rPr>
          <w:rFonts w:eastAsiaTheme="minorEastAsia" w:cs="Times New Roman"/>
          <w:i/>
          <w:szCs w:val="24"/>
          <w:lang w:eastAsia="zh-CN"/>
        </w:rPr>
        <w:t>written</w:t>
      </w:r>
      <w:r w:rsidR="00CF415D">
        <w:rPr>
          <w:rFonts w:eastAsiaTheme="minorEastAsia" w:cs="Times New Roman"/>
          <w:szCs w:val="24"/>
          <w:lang w:eastAsia="zh-CN"/>
        </w:rPr>
        <w:t xml:space="preserve"> instrument that unequivocally notifies the author of relevant copyright interests before he sets on to create it would be sufficient.</w:t>
      </w:r>
    </w:p>
    <w:p w14:paraId="274CD687" w14:textId="77777777" w:rsidR="005D750B" w:rsidRPr="00010BE9" w:rsidRDefault="005D750B" w:rsidP="005D750B">
      <w:pPr>
        <w:ind w:firstLine="720"/>
        <w:jc w:val="both"/>
        <w:rPr>
          <w:rFonts w:eastAsiaTheme="minorEastAsia" w:cs="Times New Roman"/>
          <w:szCs w:val="24"/>
          <w:lang w:eastAsia="zh-CN"/>
        </w:rPr>
      </w:pPr>
      <w:r>
        <w:rPr>
          <w:rFonts w:eastAsiaTheme="minorEastAsia" w:cs="Times New Roman"/>
          <w:szCs w:val="24"/>
          <w:lang w:eastAsia="zh-CN"/>
        </w:rPr>
        <w:t xml:space="preserve">Similar to these cases, Lime and OGS TV did not reach any </w:t>
      </w:r>
      <w:r w:rsidR="00010BE9" w:rsidRPr="00010BE9">
        <w:rPr>
          <w:rFonts w:eastAsiaTheme="minorEastAsia" w:cs="Times New Roman"/>
          <w:i/>
          <w:szCs w:val="24"/>
          <w:lang w:eastAsia="zh-CN"/>
        </w:rPr>
        <w:t>written</w:t>
      </w:r>
      <w:r>
        <w:rPr>
          <w:rFonts w:eastAsiaTheme="minorEastAsia" w:cs="Times New Roman"/>
          <w:szCs w:val="24"/>
          <w:lang w:eastAsia="zh-CN"/>
        </w:rPr>
        <w:t xml:space="preserve"> agreement </w:t>
      </w:r>
      <w:r w:rsidR="00010BE9">
        <w:rPr>
          <w:rFonts w:eastAsiaTheme="minorEastAsia" w:cs="Times New Roman"/>
          <w:szCs w:val="24"/>
          <w:lang w:eastAsia="zh-CN"/>
        </w:rPr>
        <w:t>vis-à-vis “work made for hire”</w:t>
      </w:r>
      <w:r>
        <w:rPr>
          <w:rFonts w:eastAsiaTheme="minorEastAsia" w:cs="Times New Roman"/>
          <w:szCs w:val="24"/>
          <w:lang w:eastAsia="zh-CN"/>
        </w:rPr>
        <w:t xml:space="preserve">. </w:t>
      </w:r>
      <w:r w:rsidR="00010BE9">
        <w:rPr>
          <w:rFonts w:eastAsiaTheme="minorEastAsia" w:cs="Times New Roman"/>
          <w:szCs w:val="24"/>
          <w:lang w:eastAsia="zh-CN"/>
        </w:rPr>
        <w:t>It was o</w:t>
      </w:r>
      <w:r>
        <w:rPr>
          <w:rFonts w:eastAsiaTheme="minorEastAsia" w:cs="Times New Roman"/>
          <w:szCs w:val="24"/>
          <w:lang w:eastAsia="zh-CN"/>
        </w:rPr>
        <w:t>nly after Lime has finishe</w:t>
      </w:r>
      <w:r w:rsidR="00010BE9">
        <w:rPr>
          <w:rFonts w:eastAsiaTheme="minorEastAsia" w:cs="Times New Roman"/>
          <w:szCs w:val="24"/>
          <w:lang w:eastAsia="zh-CN"/>
        </w:rPr>
        <w:t>d the work and submitted to OGS TV did they sign up a written agreement, which “came too late”</w:t>
      </w:r>
      <w:r>
        <w:rPr>
          <w:rFonts w:eastAsiaTheme="minorEastAsia" w:cs="Times New Roman"/>
          <w:szCs w:val="24"/>
          <w:lang w:eastAsia="zh-CN"/>
        </w:rPr>
        <w:t>.</w:t>
      </w:r>
      <w:r w:rsidR="00010BE9">
        <w:rPr>
          <w:rFonts w:eastAsiaTheme="minorEastAsia" w:cs="Times New Roman"/>
          <w:szCs w:val="24"/>
          <w:lang w:eastAsia="zh-CN"/>
        </w:rPr>
        <w:t xml:space="preserve"> </w:t>
      </w:r>
      <w:r w:rsidR="00010BE9">
        <w:rPr>
          <w:rFonts w:eastAsiaTheme="minorEastAsia" w:cs="Times New Roman"/>
          <w:i/>
          <w:szCs w:val="24"/>
          <w:lang w:eastAsia="zh-CN"/>
        </w:rPr>
        <w:t xml:space="preserve">Schiller &amp; Schmidt, Inc. v. </w:t>
      </w:r>
      <w:proofErr w:type="spellStart"/>
      <w:r w:rsidR="00010BE9">
        <w:rPr>
          <w:rFonts w:eastAsiaTheme="minorEastAsia" w:cs="Times New Roman"/>
          <w:i/>
          <w:szCs w:val="24"/>
          <w:lang w:eastAsia="zh-CN"/>
        </w:rPr>
        <w:t>Nordisco</w:t>
      </w:r>
      <w:proofErr w:type="spellEnd"/>
      <w:r w:rsidR="00010BE9">
        <w:rPr>
          <w:rFonts w:eastAsiaTheme="minorEastAsia" w:cs="Times New Roman"/>
          <w:i/>
          <w:szCs w:val="24"/>
          <w:lang w:eastAsia="zh-CN"/>
        </w:rPr>
        <w:t xml:space="preserve"> Corp.</w:t>
      </w:r>
      <w:r w:rsidR="00010BE9">
        <w:rPr>
          <w:rFonts w:eastAsiaTheme="minorEastAsia" w:cs="Times New Roman"/>
          <w:szCs w:val="24"/>
          <w:lang w:eastAsia="zh-CN"/>
        </w:rPr>
        <w:t xml:space="preserve"> </w:t>
      </w:r>
    </w:p>
    <w:p w14:paraId="49CEB775" w14:textId="77777777" w:rsidR="00B55107" w:rsidRDefault="00AC3ED9" w:rsidP="005D1D44">
      <w:pPr>
        <w:ind w:firstLine="720"/>
        <w:jc w:val="both"/>
        <w:rPr>
          <w:rFonts w:eastAsiaTheme="minorEastAsia"/>
          <w:lang w:eastAsia="zh-CN"/>
        </w:rPr>
      </w:pPr>
      <w:r>
        <w:rPr>
          <w:rFonts w:eastAsiaTheme="minorEastAsia" w:cs="Times New Roman"/>
          <w:szCs w:val="24"/>
          <w:lang w:eastAsia="zh-CN"/>
        </w:rPr>
        <w:t xml:space="preserve">It might be contended by Plaintiff </w:t>
      </w:r>
      <w:r w:rsidR="00680AB7">
        <w:rPr>
          <w:rFonts w:eastAsiaTheme="minorEastAsia" w:cs="Times New Roman"/>
          <w:szCs w:val="24"/>
          <w:lang w:eastAsia="zh-CN"/>
        </w:rPr>
        <w:t xml:space="preserve">that, in </w:t>
      </w:r>
      <w:bookmarkStart w:id="82" w:name="OLE_LINK80"/>
      <w:bookmarkStart w:id="83" w:name="OLE_LINK81"/>
      <w:r w:rsidR="00680AB7">
        <w:rPr>
          <w:rFonts w:eastAsiaTheme="minorEastAsia" w:cs="Times New Roman"/>
          <w:i/>
          <w:szCs w:val="24"/>
          <w:lang w:eastAsia="zh-CN"/>
        </w:rPr>
        <w:t>Playboy Enters., Inc. v. Dumas</w:t>
      </w:r>
      <w:bookmarkEnd w:id="82"/>
      <w:bookmarkEnd w:id="83"/>
      <w:r w:rsidR="00680AB7">
        <w:rPr>
          <w:rFonts w:eastAsiaTheme="minorEastAsia" w:cs="Times New Roman"/>
          <w:szCs w:val="24"/>
          <w:lang w:eastAsia="zh-CN"/>
        </w:rPr>
        <w:t xml:space="preserve">, </w:t>
      </w:r>
      <w:r w:rsidR="00B55107">
        <w:rPr>
          <w:rFonts w:eastAsiaTheme="minorEastAsia" w:cs="Times New Roman"/>
          <w:szCs w:val="24"/>
          <w:lang w:eastAsia="zh-CN"/>
        </w:rPr>
        <w:t>the Second Circuit court also ruled that “</w:t>
      </w:r>
      <w:r w:rsidR="00B55107">
        <w:rPr>
          <w:rFonts w:eastAsiaTheme="minorEastAsia"/>
          <w:lang w:eastAsia="zh-CN"/>
        </w:rPr>
        <w:t xml:space="preserve">the writing requirement of 17 U.S.C. </w:t>
      </w:r>
      <w:bookmarkStart w:id="84" w:name="OLE_LINK109"/>
      <w:r w:rsidR="00B55107">
        <w:rPr>
          <w:rFonts w:eastAsiaTheme="minorEastAsia"/>
          <w:lang w:eastAsia="zh-CN"/>
        </w:rPr>
        <w:t>§</w:t>
      </w:r>
      <w:bookmarkEnd w:id="84"/>
      <w:r w:rsidR="00B55107">
        <w:rPr>
          <w:rFonts w:eastAsiaTheme="minorEastAsia"/>
          <w:lang w:eastAsia="zh-CN"/>
        </w:rPr>
        <w:t xml:space="preserve"> 101(2) can be met by a writing executed after the work is created, if the writing confirms a prior agreement, either explicit or implicit, made before the creation of the work.” However, the case distinguishable in that the two parties have been working together for more than nine years in a row. The photographer knew </w:t>
      </w:r>
      <w:r w:rsidR="006A3DE9">
        <w:rPr>
          <w:rFonts w:eastAsiaTheme="minorEastAsia"/>
          <w:lang w:eastAsia="zh-CN"/>
        </w:rPr>
        <w:t xml:space="preserve">full well about the </w:t>
      </w:r>
      <w:r w:rsidR="00B55107">
        <w:rPr>
          <w:rFonts w:eastAsiaTheme="minorEastAsia"/>
          <w:lang w:eastAsia="zh-CN"/>
        </w:rPr>
        <w:t xml:space="preserve">implications </w:t>
      </w:r>
      <w:r w:rsidR="006A3DE9">
        <w:rPr>
          <w:rFonts w:eastAsiaTheme="minorEastAsia"/>
          <w:lang w:eastAsia="zh-CN"/>
        </w:rPr>
        <w:t>of the contractual relationship and</w:t>
      </w:r>
      <w:r w:rsidR="00680AB7">
        <w:rPr>
          <w:rFonts w:eastAsiaTheme="minorEastAsia"/>
          <w:lang w:eastAsia="zh-CN"/>
        </w:rPr>
        <w:t xml:space="preserve"> the employment status, whereas in our case, Plaintiff and Defendant Lime had never engaged in business before and it was probably the first time the Lime had ever heard of “work made for hire”.</w:t>
      </w:r>
    </w:p>
    <w:p w14:paraId="1A60E91C" w14:textId="77777777" w:rsidR="00BF3662" w:rsidRPr="006F497B" w:rsidRDefault="00377D0A" w:rsidP="005D1D44">
      <w:pPr>
        <w:ind w:firstLine="720"/>
        <w:jc w:val="both"/>
        <w:rPr>
          <w:rFonts w:eastAsiaTheme="minorEastAsia"/>
          <w:lang w:eastAsia="zh-CN"/>
        </w:rPr>
      </w:pPr>
      <w:r>
        <w:rPr>
          <w:rFonts w:eastAsiaTheme="minorEastAsia"/>
          <w:lang w:eastAsia="zh-CN"/>
        </w:rPr>
        <w:t xml:space="preserve">In conclusion, courts generally integrate legislative history and policy concerns </w:t>
      </w:r>
      <w:r w:rsidR="00586F02">
        <w:rPr>
          <w:rFonts w:eastAsiaTheme="minorEastAsia"/>
          <w:lang w:eastAsia="zh-CN"/>
        </w:rPr>
        <w:t>into the rulings which propose adopting a bright-line rule of requiring a signed writing before work creation.</w:t>
      </w:r>
      <w:r w:rsidR="006F497B">
        <w:rPr>
          <w:rFonts w:eastAsiaTheme="minorEastAsia"/>
          <w:lang w:eastAsia="zh-CN"/>
        </w:rPr>
        <w:t xml:space="preserve"> A case like </w:t>
      </w:r>
      <w:r w:rsidR="006F497B">
        <w:rPr>
          <w:rFonts w:eastAsiaTheme="minorEastAsia" w:cs="Times New Roman"/>
          <w:i/>
          <w:szCs w:val="24"/>
          <w:lang w:eastAsia="zh-CN"/>
        </w:rPr>
        <w:t>Playboy Enters., Inc. v. Dumas</w:t>
      </w:r>
      <w:r w:rsidR="006F497B">
        <w:rPr>
          <w:rFonts w:eastAsiaTheme="minorEastAsia" w:cs="Times New Roman"/>
          <w:szCs w:val="24"/>
          <w:lang w:eastAsia="zh-CN"/>
        </w:rPr>
        <w:t xml:space="preserve"> is ruled inconsistently with the legislative intent, and an exception established there should be construed very narrowly.</w:t>
      </w:r>
    </w:p>
    <w:p w14:paraId="12DB9657" w14:textId="77777777" w:rsidR="00A00729" w:rsidRDefault="0009073C" w:rsidP="00A00729">
      <w:pPr>
        <w:pStyle w:val="ListParagraph"/>
        <w:numPr>
          <w:ilvl w:val="0"/>
          <w:numId w:val="2"/>
        </w:numPr>
        <w:spacing w:line="240" w:lineRule="auto"/>
        <w:ind w:left="720"/>
        <w:rPr>
          <w:rFonts w:ascii="Times New Roman" w:hAnsi="Times New Roman" w:cs="Times New Roman"/>
          <w:b/>
          <w:sz w:val="24"/>
          <w:szCs w:val="24"/>
        </w:rPr>
      </w:pPr>
      <w:r>
        <w:rPr>
          <w:rFonts w:ascii="Times New Roman" w:hAnsi="Times New Roman" w:cs="Times New Roman"/>
          <w:b/>
          <w:sz w:val="24"/>
          <w:szCs w:val="24"/>
          <w:u w:val="single"/>
        </w:rPr>
        <w:t>IN THE ALTERNATIVE, AN AMBIGUOUS STATUTE SHOULD BE CONSTRUED MOST FAVORABLY TO THE DEFENDANTS UNDER THE RULE OF LENITY</w:t>
      </w:r>
    </w:p>
    <w:p w14:paraId="0D233FCE" w14:textId="77777777" w:rsidR="00E82D32" w:rsidRDefault="002660C1" w:rsidP="00E82D32">
      <w:pPr>
        <w:ind w:firstLine="720"/>
        <w:jc w:val="both"/>
        <w:rPr>
          <w:rFonts w:eastAsia="Times New Roman" w:cs="Times New Roman"/>
          <w:szCs w:val="24"/>
        </w:rPr>
      </w:pPr>
      <w:r>
        <w:rPr>
          <w:rFonts w:eastAsia="Times New Roman" w:cs="Times New Roman"/>
          <w:szCs w:val="24"/>
        </w:rPr>
        <w:t>Even if the court concludes that</w:t>
      </w:r>
      <w:r w:rsidR="00E82D32">
        <w:rPr>
          <w:rFonts w:eastAsia="Times New Roman" w:cs="Times New Roman"/>
          <w:szCs w:val="24"/>
        </w:rPr>
        <w:t xml:space="preserve"> the statute is somewhat ambiguous about what conduct is covered under it, the rule of lenity requires </w:t>
      </w:r>
      <w:r w:rsidR="005D5069">
        <w:rPr>
          <w:rFonts w:cs="Times New Roman"/>
          <w:szCs w:val="24"/>
        </w:rPr>
        <w:t xml:space="preserve">any ambiguity should be construed in favor of the </w:t>
      </w:r>
      <w:r w:rsidR="005D5069">
        <w:rPr>
          <w:rFonts w:cs="Times New Roman"/>
          <w:szCs w:val="24"/>
        </w:rPr>
        <w:lastRenderedPageBreak/>
        <w:t>accused</w:t>
      </w:r>
      <w:r w:rsidR="00E82D32">
        <w:rPr>
          <w:szCs w:val="24"/>
        </w:rPr>
        <w:t xml:space="preserve">. </w:t>
      </w:r>
      <w:proofErr w:type="gramStart"/>
      <w:r w:rsidR="00E82D32">
        <w:rPr>
          <w:rFonts w:eastAsiaTheme="minorEastAsia"/>
          <w:i/>
          <w:szCs w:val="24"/>
          <w:lang w:eastAsia="zh-CN"/>
        </w:rPr>
        <w:t>Ladner v. United States</w:t>
      </w:r>
      <w:r w:rsidR="00E82D32">
        <w:rPr>
          <w:rFonts w:eastAsiaTheme="minorEastAsia"/>
          <w:szCs w:val="24"/>
          <w:lang w:eastAsia="zh-CN"/>
        </w:rPr>
        <w:t xml:space="preserve">, 358 U.S. 169,177-178(1958); </w:t>
      </w:r>
      <w:proofErr w:type="spellStart"/>
      <w:r w:rsidR="00E82D32">
        <w:rPr>
          <w:rFonts w:eastAsiaTheme="minorEastAsia"/>
          <w:i/>
          <w:szCs w:val="24"/>
          <w:lang w:eastAsia="zh-CN"/>
        </w:rPr>
        <w:t>Moskal</w:t>
      </w:r>
      <w:proofErr w:type="spellEnd"/>
      <w:r w:rsidR="00E82D32">
        <w:rPr>
          <w:rFonts w:eastAsiaTheme="minorEastAsia"/>
          <w:i/>
          <w:szCs w:val="24"/>
          <w:lang w:eastAsia="zh-CN"/>
        </w:rPr>
        <w:t xml:space="preserve"> v. U.S.</w:t>
      </w:r>
      <w:r w:rsidR="00E82D32">
        <w:rPr>
          <w:rFonts w:eastAsiaTheme="minorEastAsia"/>
          <w:szCs w:val="24"/>
          <w:lang w:eastAsia="zh-CN"/>
        </w:rPr>
        <w:t>, 103, 107(1990).</w:t>
      </w:r>
      <w:proofErr w:type="gramEnd"/>
      <w:r w:rsidR="00E82D32">
        <w:rPr>
          <w:rFonts w:eastAsiaTheme="minorEastAsia"/>
          <w:szCs w:val="24"/>
          <w:lang w:eastAsia="zh-CN"/>
        </w:rPr>
        <w:t xml:space="preserve">  When there is an ambiguity as to what conduct is prohibited, the narrowest interpretation is preferable. </w:t>
      </w:r>
      <w:r w:rsidR="00E82D32">
        <w:rPr>
          <w:rFonts w:eastAsiaTheme="minorEastAsia"/>
          <w:i/>
          <w:szCs w:val="24"/>
          <w:lang w:eastAsia="zh-CN"/>
        </w:rPr>
        <w:t>Id</w:t>
      </w:r>
      <w:r w:rsidR="00E82D32">
        <w:rPr>
          <w:rFonts w:eastAsiaTheme="minorEastAsia"/>
          <w:szCs w:val="24"/>
          <w:lang w:eastAsia="zh-CN"/>
        </w:rPr>
        <w:t xml:space="preserve">. </w:t>
      </w:r>
      <w:r w:rsidR="00E82D32">
        <w:rPr>
          <w:szCs w:val="24"/>
        </w:rPr>
        <w:t>Also, the rule of lenity applies to a civil claim when the Defendant</w:t>
      </w:r>
      <w:r w:rsidR="00E82D32">
        <w:rPr>
          <w:rFonts w:eastAsiaTheme="minorEastAsia"/>
          <w:szCs w:val="24"/>
          <w:lang w:eastAsia="zh-CN"/>
        </w:rPr>
        <w:t>’</w:t>
      </w:r>
      <w:r w:rsidR="00E82D32">
        <w:rPr>
          <w:szCs w:val="24"/>
        </w:rPr>
        <w:t xml:space="preserve">s alleged violation is found in a criminal statute so that the statute is interpreted consistently in both criminal and civil contexts. </w:t>
      </w:r>
      <w:proofErr w:type="gramStart"/>
      <w:r w:rsidR="00E82D32">
        <w:rPr>
          <w:i/>
          <w:iCs/>
          <w:szCs w:val="24"/>
        </w:rPr>
        <w:t>Crandon v. United States</w:t>
      </w:r>
      <w:r w:rsidR="00E82D32">
        <w:rPr>
          <w:szCs w:val="24"/>
        </w:rPr>
        <w:t xml:space="preserve">, 494 U.S. 152 (1990); </w:t>
      </w:r>
      <w:r w:rsidR="00E82D32" w:rsidRPr="000C2E0B">
        <w:rPr>
          <w:i/>
          <w:iCs/>
          <w:szCs w:val="24"/>
        </w:rPr>
        <w:t>LVRC Holdings</w:t>
      </w:r>
      <w:r w:rsidR="00E82D32" w:rsidRPr="000C2E0B">
        <w:rPr>
          <w:rFonts w:eastAsiaTheme="minorEastAsia"/>
          <w:i/>
          <w:iCs/>
          <w:szCs w:val="24"/>
          <w:lang w:eastAsia="zh-CN"/>
        </w:rPr>
        <w:t xml:space="preserve"> LLC</w:t>
      </w:r>
      <w:r w:rsidR="000C2E0B" w:rsidRPr="000C2E0B">
        <w:rPr>
          <w:rFonts w:eastAsiaTheme="minorEastAsia"/>
          <w:i/>
          <w:iCs/>
          <w:szCs w:val="24"/>
          <w:lang w:eastAsia="zh-CN"/>
        </w:rPr>
        <w:t xml:space="preserve"> v. </w:t>
      </w:r>
      <w:proofErr w:type="spellStart"/>
      <w:r w:rsidR="000C2E0B" w:rsidRPr="000C2E0B">
        <w:rPr>
          <w:rFonts w:eastAsiaTheme="minorEastAsia"/>
          <w:i/>
          <w:iCs/>
          <w:szCs w:val="24"/>
          <w:lang w:eastAsia="zh-CN"/>
        </w:rPr>
        <w:t>Brekka</w:t>
      </w:r>
      <w:proofErr w:type="spellEnd"/>
      <w:r w:rsidR="000C2E0B">
        <w:rPr>
          <w:rFonts w:eastAsiaTheme="minorEastAsia"/>
          <w:iCs/>
          <w:szCs w:val="24"/>
          <w:lang w:eastAsia="zh-CN"/>
        </w:rPr>
        <w:t>, 581 F.3d 1127, 1130 (9th Cir. 2009)</w:t>
      </w:r>
      <w:r w:rsidR="00E82D32">
        <w:rPr>
          <w:rFonts w:eastAsiaTheme="minorEastAsia"/>
          <w:iCs/>
          <w:szCs w:val="24"/>
          <w:lang w:eastAsia="zh-CN"/>
        </w:rPr>
        <w:t>.</w:t>
      </w:r>
      <w:proofErr w:type="gramEnd"/>
      <w:r w:rsidR="00E82D32">
        <w:rPr>
          <w:rFonts w:eastAsiaTheme="minorEastAsia"/>
          <w:iCs/>
          <w:szCs w:val="24"/>
          <w:lang w:eastAsia="zh-CN"/>
        </w:rPr>
        <w:t xml:space="preserve">  The rule of lenity prohibits interpreting a statute with criminal implications in an unexpected manner. </w:t>
      </w:r>
      <w:r w:rsidR="00E82D32">
        <w:rPr>
          <w:rFonts w:eastAsiaTheme="minorEastAsia"/>
          <w:i/>
          <w:iCs/>
          <w:szCs w:val="24"/>
          <w:lang w:eastAsia="zh-CN"/>
        </w:rPr>
        <w:t>Id</w:t>
      </w:r>
      <w:r w:rsidR="00E82D32">
        <w:rPr>
          <w:rFonts w:eastAsiaTheme="minorEastAsia"/>
          <w:iCs/>
          <w:szCs w:val="24"/>
          <w:lang w:eastAsia="zh-CN"/>
        </w:rPr>
        <w:t>.</w:t>
      </w:r>
    </w:p>
    <w:p w14:paraId="1C537E28" w14:textId="77777777" w:rsidR="00B55107" w:rsidRDefault="000C2E0B" w:rsidP="00123ADC">
      <w:pPr>
        <w:ind w:firstLine="720"/>
        <w:jc w:val="both"/>
      </w:pPr>
      <w:r>
        <w:rPr>
          <w:rFonts w:eastAsia="Times New Roman" w:cs="Times New Roman"/>
          <w:szCs w:val="24"/>
        </w:rPr>
        <w:t xml:space="preserve">Here, the narrowest interpretation is just that a signed written agreement must be prior to the work completion. </w:t>
      </w:r>
      <w:r w:rsidR="00E82D32">
        <w:rPr>
          <w:rFonts w:eastAsiaTheme="minorEastAsia"/>
          <w:iCs/>
          <w:szCs w:val="24"/>
          <w:lang w:eastAsia="zh-CN"/>
        </w:rPr>
        <w:t>In no time during the course of dealings was Defendant Elizabeth Lime notified about the specific nature and possible implications of a work “made for hire</w:t>
      </w:r>
      <w:r>
        <w:rPr>
          <w:rFonts w:eastAsiaTheme="minorEastAsia"/>
          <w:iCs/>
          <w:szCs w:val="24"/>
          <w:lang w:eastAsia="zh-CN"/>
        </w:rPr>
        <w:t>”</w:t>
      </w:r>
      <w:r w:rsidR="00E82D32">
        <w:rPr>
          <w:rFonts w:eastAsiaTheme="minorEastAsia"/>
          <w:iCs/>
          <w:szCs w:val="24"/>
          <w:lang w:eastAsia="zh-CN"/>
        </w:rPr>
        <w:t xml:space="preserve">. </w:t>
      </w:r>
      <w:r>
        <w:rPr>
          <w:rFonts w:cs="Times New Roman"/>
          <w:szCs w:val="24"/>
        </w:rPr>
        <w:t>To punish someone who did not know they were violating a statute runs counter to our intuition for fairness; Lime’s action was not culpable to warrant being branded with stigma of a lawbreaker.  The Defendants did not believe “Anticipatory Repudiation” was a work-made-for-hire, and hence did not believe it belonged to OGS.  The Circuit Courts have demonstrated that the statute’s complexity could cause reasonable professionals - well versed in statutory interpretation - to disagree.  It would be cruel and bizarre to punish the Defendants for supposedly violating a difficult statute that does not give them fair notice</w:t>
      </w:r>
      <w:r w:rsidR="00E82D32">
        <w:rPr>
          <w:rFonts w:eastAsiaTheme="minorEastAsia"/>
          <w:iCs/>
          <w:szCs w:val="24"/>
          <w:lang w:eastAsia="zh-CN"/>
        </w:rPr>
        <w:t>.</w:t>
      </w:r>
    </w:p>
    <w:p w14:paraId="4A1B8079" w14:textId="77777777" w:rsidR="007D52B6" w:rsidRDefault="007D52B6" w:rsidP="007D52B6">
      <w:pPr>
        <w:jc w:val="center"/>
        <w:rPr>
          <w:b/>
          <w:u w:val="single"/>
        </w:rPr>
      </w:pPr>
      <w:r>
        <w:rPr>
          <w:b/>
          <w:u w:val="single"/>
        </w:rPr>
        <w:t>CONCLUSION</w:t>
      </w:r>
    </w:p>
    <w:p w14:paraId="1C1C87C9" w14:textId="77777777" w:rsidR="007D52B6" w:rsidRDefault="00975B92" w:rsidP="007D52B6">
      <w:pPr>
        <w:ind w:firstLine="720"/>
        <w:jc w:val="both"/>
        <w:rPr>
          <w:rFonts w:eastAsiaTheme="minorEastAsia"/>
          <w:lang w:eastAsia="zh-CN"/>
        </w:rPr>
      </w:pPr>
      <w:r>
        <w:rPr>
          <w:rFonts w:eastAsiaTheme="minorEastAsia"/>
          <w:lang w:eastAsia="zh-CN"/>
        </w:rPr>
        <w:t>In the current case, the Court has an excellent opportunity to both set a sensible and equitable outcome by protecting the interest of those least capable of protecting themselves</w:t>
      </w:r>
      <w:r w:rsidR="007D52B6">
        <w:rPr>
          <w:rFonts w:eastAsiaTheme="minorEastAsia"/>
          <w:lang w:eastAsia="zh-CN"/>
        </w:rPr>
        <w:t>.</w:t>
      </w:r>
      <w:r>
        <w:rPr>
          <w:rFonts w:eastAsiaTheme="minorEastAsia"/>
          <w:lang w:eastAsia="zh-CN"/>
        </w:rPr>
        <w:t xml:space="preserve"> Given the aforementioned reasons,</w:t>
      </w:r>
      <w:r w:rsidR="007D52B6">
        <w:rPr>
          <w:rFonts w:eastAsiaTheme="minorEastAsia"/>
          <w:lang w:eastAsia="zh-CN"/>
        </w:rPr>
        <w:t xml:space="preserve"> Plaintiff did not establish that defendants has violated copyright law, or infringed Plaintiff’s copyright by producing and performing the screen play “The Love Below.” The plain meaning, structure of the statute, legislative history,</w:t>
      </w:r>
      <w:r w:rsidR="002835B8">
        <w:rPr>
          <w:rFonts w:eastAsiaTheme="minorEastAsia"/>
          <w:lang w:eastAsia="zh-CN"/>
        </w:rPr>
        <w:t xml:space="preserve"> rule of lenity,</w:t>
      </w:r>
      <w:r w:rsidR="007D52B6">
        <w:rPr>
          <w:rFonts w:eastAsiaTheme="minorEastAsia"/>
          <w:lang w:eastAsia="zh-CN"/>
        </w:rPr>
        <w:t xml:space="preserve"> </w:t>
      </w:r>
      <w:r w:rsidR="007D52B6">
        <w:rPr>
          <w:rFonts w:eastAsiaTheme="minorEastAsia"/>
          <w:lang w:eastAsia="zh-CN"/>
        </w:rPr>
        <w:lastRenderedPageBreak/>
        <w:t xml:space="preserve">public policy, and case law all reveal OGC TV has not stated a claim upon which relief can be granted. </w:t>
      </w:r>
      <w:r w:rsidR="002835B8">
        <w:rPr>
          <w:rFonts w:cs="Times New Roman"/>
          <w:szCs w:val="24"/>
        </w:rPr>
        <w:t xml:space="preserve">Federal R. Civ. P. 12(b)(6) </w:t>
      </w:r>
      <w:proofErr w:type="gramStart"/>
      <w:r w:rsidR="007D52B6">
        <w:rPr>
          <w:rFonts w:eastAsiaTheme="minorEastAsia"/>
          <w:lang w:eastAsia="zh-CN"/>
        </w:rPr>
        <w:t>As</w:t>
      </w:r>
      <w:proofErr w:type="gramEnd"/>
      <w:r w:rsidR="007D52B6">
        <w:rPr>
          <w:rFonts w:eastAsiaTheme="minorEastAsia"/>
          <w:lang w:eastAsia="zh-CN"/>
        </w:rPr>
        <w:t xml:space="preserve"> a result, </w:t>
      </w:r>
      <w:r w:rsidR="002835B8">
        <w:rPr>
          <w:rFonts w:eastAsiaTheme="minorEastAsia"/>
          <w:lang w:eastAsia="zh-CN"/>
        </w:rPr>
        <w:t>all of Plaintiff’s</w:t>
      </w:r>
      <w:r w:rsidR="007D52B6">
        <w:rPr>
          <w:rFonts w:eastAsiaTheme="minorEastAsia"/>
          <w:lang w:eastAsia="zh-CN"/>
        </w:rPr>
        <w:t xml:space="preserve"> claims under 17 U</w:t>
      </w:r>
      <w:r w:rsidR="002835B8">
        <w:rPr>
          <w:rFonts w:eastAsiaTheme="minorEastAsia"/>
          <w:lang w:eastAsia="zh-CN"/>
        </w:rPr>
        <w:t>.S.C. § 101 must be dismissed.</w:t>
      </w:r>
    </w:p>
    <w:p w14:paraId="0D91FE18" w14:textId="77777777" w:rsidR="00256442" w:rsidRDefault="00256442" w:rsidP="00256442">
      <w:pPr>
        <w:rPr>
          <w:rFonts w:cs="Times New Roman"/>
          <w:szCs w:val="24"/>
        </w:rPr>
      </w:pPr>
      <w:r>
        <w:rPr>
          <w:rFonts w:cs="Times New Roman"/>
          <w:szCs w:val="24"/>
        </w:rPr>
        <w:t>Dated:</w:t>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t>Respectfully submitted,</w:t>
      </w:r>
    </w:p>
    <w:p w14:paraId="34CD8A8E" w14:textId="77777777" w:rsidR="00256442" w:rsidRDefault="00256442" w:rsidP="000B635D">
      <w:pPr>
        <w:spacing w:line="240" w:lineRule="auto"/>
        <w:rPr>
          <w:rFonts w:cs="Times New Roman"/>
          <w:szCs w:val="24"/>
        </w:rPr>
      </w:pP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sidR="000B635D">
        <w:rPr>
          <w:rFonts w:eastAsia="Times New Roman" w:cs="Times New Roman"/>
          <w:szCs w:val="24"/>
        </w:rPr>
        <w:t>&lt;redacted&gt;&lt;/redacted&gt;</w:t>
      </w:r>
      <w:bookmarkStart w:id="85" w:name="_GoBack"/>
      <w:bookmarkEnd w:id="85"/>
    </w:p>
    <w:p w14:paraId="4C492707" w14:textId="77777777" w:rsidR="00256442" w:rsidRDefault="00256442" w:rsidP="00256442">
      <w:pPr>
        <w:spacing w:line="240" w:lineRule="auto"/>
        <w:jc w:val="right"/>
        <w:rPr>
          <w:rFonts w:eastAsia="Calibri"/>
        </w:rPr>
      </w:pPr>
      <w:r>
        <w:rPr>
          <w:rFonts w:cs="Times New Roman"/>
          <w:szCs w:val="24"/>
        </w:rPr>
        <w:t xml:space="preserve">Attorney for </w:t>
      </w:r>
      <w:r>
        <w:rPr>
          <w:rFonts w:eastAsia="Calibri"/>
        </w:rPr>
        <w:t>Elizabeth Lime</w:t>
      </w:r>
    </w:p>
    <w:p w14:paraId="2D6B0F49" w14:textId="77777777" w:rsidR="00256442" w:rsidRDefault="00256442" w:rsidP="00256442">
      <w:pPr>
        <w:spacing w:line="240" w:lineRule="auto"/>
        <w:ind w:right="158"/>
        <w:jc w:val="right"/>
        <w:rPr>
          <w:rFonts w:eastAsia="Calibri"/>
        </w:rPr>
      </w:pPr>
      <w:proofErr w:type="spellStart"/>
      <w:r>
        <w:rPr>
          <w:rFonts w:eastAsia="Calibri"/>
        </w:rPr>
        <w:t>TinyTV</w:t>
      </w:r>
      <w:proofErr w:type="spellEnd"/>
      <w:r>
        <w:rPr>
          <w:rFonts w:eastAsia="Calibri"/>
        </w:rPr>
        <w:t>, Inc.</w:t>
      </w:r>
    </w:p>
    <w:p w14:paraId="7F3631E4" w14:textId="77777777" w:rsidR="007D52B6" w:rsidRPr="004720D0" w:rsidRDefault="007D52B6" w:rsidP="006129D8">
      <w:pPr>
        <w:jc w:val="both"/>
      </w:pPr>
    </w:p>
    <w:sectPr w:rsidR="007D52B6" w:rsidRPr="004720D0">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58A6B2" w14:textId="77777777" w:rsidR="0069049D" w:rsidRDefault="0069049D" w:rsidP="004872C6">
      <w:pPr>
        <w:spacing w:line="240" w:lineRule="auto"/>
      </w:pPr>
      <w:r>
        <w:separator/>
      </w:r>
    </w:p>
  </w:endnote>
  <w:endnote w:type="continuationSeparator" w:id="0">
    <w:p w14:paraId="5C5A839F" w14:textId="77777777" w:rsidR="0069049D" w:rsidRDefault="0069049D" w:rsidP="004872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宋体">
    <w:charset w:val="50"/>
    <w:family w:val="auto"/>
    <w:pitch w:val="variable"/>
    <w:sig w:usb0="00000003" w:usb1="288F0000" w:usb2="00000016" w:usb3="00000000" w:csb0="0004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1250912"/>
      <w:docPartObj>
        <w:docPartGallery w:val="Page Numbers (Bottom of Page)"/>
        <w:docPartUnique/>
      </w:docPartObj>
    </w:sdtPr>
    <w:sdtEndPr>
      <w:rPr>
        <w:noProof/>
      </w:rPr>
    </w:sdtEndPr>
    <w:sdtContent>
      <w:p w14:paraId="00AF62CA" w14:textId="77777777" w:rsidR="004872C6" w:rsidRDefault="004872C6">
        <w:pPr>
          <w:pStyle w:val="Footer"/>
          <w:jc w:val="center"/>
        </w:pPr>
        <w:r>
          <w:fldChar w:fldCharType="begin"/>
        </w:r>
        <w:r>
          <w:instrText xml:space="preserve"> PAGE   \* MERGEFORMAT </w:instrText>
        </w:r>
        <w:r>
          <w:fldChar w:fldCharType="separate"/>
        </w:r>
        <w:r w:rsidR="000B635D">
          <w:rPr>
            <w:noProof/>
          </w:rPr>
          <w:t>15</w:t>
        </w:r>
        <w:r>
          <w:rPr>
            <w:noProof/>
          </w:rPr>
          <w:fldChar w:fldCharType="end"/>
        </w:r>
      </w:p>
    </w:sdtContent>
  </w:sdt>
  <w:p w14:paraId="636D7D6D" w14:textId="77777777" w:rsidR="004872C6" w:rsidRDefault="004872C6">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24F7E1" w14:textId="77777777" w:rsidR="0069049D" w:rsidRDefault="0069049D" w:rsidP="004872C6">
      <w:pPr>
        <w:spacing w:line="240" w:lineRule="auto"/>
      </w:pPr>
      <w:r>
        <w:separator/>
      </w:r>
    </w:p>
  </w:footnote>
  <w:footnote w:type="continuationSeparator" w:id="0">
    <w:p w14:paraId="1C673F3F" w14:textId="77777777" w:rsidR="0069049D" w:rsidRDefault="0069049D" w:rsidP="004872C6">
      <w:pPr>
        <w:spacing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D302A3"/>
    <w:multiLevelType w:val="hybridMultilevel"/>
    <w:tmpl w:val="E1E4AA12"/>
    <w:lvl w:ilvl="0" w:tplc="1130D024">
      <w:start w:val="1"/>
      <w:numFmt w:val="lowerRoman"/>
      <w:lvlText w:val="%1."/>
      <w:lvlJc w:val="left"/>
      <w:pPr>
        <w:ind w:left="1080" w:hanging="360"/>
      </w:pPr>
      <w:rPr>
        <w:rFonts w:ascii="Times New Roman" w:eastAsiaTheme="minorEastAsia" w:hAnsi="Times New Roman" w:cs="Times New Roman"/>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nsid w:val="606666DD"/>
    <w:multiLevelType w:val="hybridMultilevel"/>
    <w:tmpl w:val="3340AB48"/>
    <w:lvl w:ilvl="0" w:tplc="F69C4034">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2E70"/>
    <w:rsid w:val="000041E6"/>
    <w:rsid w:val="000101BE"/>
    <w:rsid w:val="00010BE9"/>
    <w:rsid w:val="00027888"/>
    <w:rsid w:val="000719EA"/>
    <w:rsid w:val="00076760"/>
    <w:rsid w:val="0009073C"/>
    <w:rsid w:val="000B635D"/>
    <w:rsid w:val="000B73C5"/>
    <w:rsid w:val="000C2E0B"/>
    <w:rsid w:val="000D0542"/>
    <w:rsid w:val="000D0B9D"/>
    <w:rsid w:val="000D7939"/>
    <w:rsid w:val="000F2513"/>
    <w:rsid w:val="000F5A0D"/>
    <w:rsid w:val="00101D65"/>
    <w:rsid w:val="00106009"/>
    <w:rsid w:val="00123ADC"/>
    <w:rsid w:val="001252C8"/>
    <w:rsid w:val="0013410B"/>
    <w:rsid w:val="00173D4E"/>
    <w:rsid w:val="001820DE"/>
    <w:rsid w:val="001B600D"/>
    <w:rsid w:val="001C4482"/>
    <w:rsid w:val="001C619A"/>
    <w:rsid w:val="001D71B2"/>
    <w:rsid w:val="00227827"/>
    <w:rsid w:val="00250716"/>
    <w:rsid w:val="00251528"/>
    <w:rsid w:val="002519E3"/>
    <w:rsid w:val="00256442"/>
    <w:rsid w:val="002660C1"/>
    <w:rsid w:val="0026697B"/>
    <w:rsid w:val="0028057C"/>
    <w:rsid w:val="002835B8"/>
    <w:rsid w:val="002877E6"/>
    <w:rsid w:val="002927B9"/>
    <w:rsid w:val="002B4114"/>
    <w:rsid w:val="002B49B9"/>
    <w:rsid w:val="002E2C3E"/>
    <w:rsid w:val="002E34A5"/>
    <w:rsid w:val="002E55A9"/>
    <w:rsid w:val="002E65AA"/>
    <w:rsid w:val="0031062A"/>
    <w:rsid w:val="00327CAD"/>
    <w:rsid w:val="0033325D"/>
    <w:rsid w:val="00334A4A"/>
    <w:rsid w:val="003449C6"/>
    <w:rsid w:val="00346813"/>
    <w:rsid w:val="00350538"/>
    <w:rsid w:val="00361E91"/>
    <w:rsid w:val="00365883"/>
    <w:rsid w:val="00377D0A"/>
    <w:rsid w:val="003B64D4"/>
    <w:rsid w:val="003C1DA7"/>
    <w:rsid w:val="003D67DE"/>
    <w:rsid w:val="003F0CE2"/>
    <w:rsid w:val="00424906"/>
    <w:rsid w:val="00431C3F"/>
    <w:rsid w:val="00432E79"/>
    <w:rsid w:val="00434144"/>
    <w:rsid w:val="00441804"/>
    <w:rsid w:val="004549BE"/>
    <w:rsid w:val="00460E49"/>
    <w:rsid w:val="004632A8"/>
    <w:rsid w:val="004720D0"/>
    <w:rsid w:val="00477D04"/>
    <w:rsid w:val="004804A3"/>
    <w:rsid w:val="00482CF2"/>
    <w:rsid w:val="004872C6"/>
    <w:rsid w:val="00497A9F"/>
    <w:rsid w:val="004A3DE6"/>
    <w:rsid w:val="004C5D69"/>
    <w:rsid w:val="004D192B"/>
    <w:rsid w:val="004D56B9"/>
    <w:rsid w:val="00507563"/>
    <w:rsid w:val="00510042"/>
    <w:rsid w:val="00510D54"/>
    <w:rsid w:val="0053044E"/>
    <w:rsid w:val="00535EC2"/>
    <w:rsid w:val="00552437"/>
    <w:rsid w:val="00564E9B"/>
    <w:rsid w:val="00573616"/>
    <w:rsid w:val="00586F02"/>
    <w:rsid w:val="005931AF"/>
    <w:rsid w:val="005D1D44"/>
    <w:rsid w:val="005D5069"/>
    <w:rsid w:val="005D750B"/>
    <w:rsid w:val="005F221A"/>
    <w:rsid w:val="00600C39"/>
    <w:rsid w:val="00606EDC"/>
    <w:rsid w:val="006129D8"/>
    <w:rsid w:val="00633036"/>
    <w:rsid w:val="0066776B"/>
    <w:rsid w:val="00680AB7"/>
    <w:rsid w:val="00683E42"/>
    <w:rsid w:val="0069049D"/>
    <w:rsid w:val="00694DBA"/>
    <w:rsid w:val="006A20C3"/>
    <w:rsid w:val="006A3DE9"/>
    <w:rsid w:val="006C090C"/>
    <w:rsid w:val="006F497B"/>
    <w:rsid w:val="00722E89"/>
    <w:rsid w:val="00752734"/>
    <w:rsid w:val="00761560"/>
    <w:rsid w:val="007632A0"/>
    <w:rsid w:val="00770918"/>
    <w:rsid w:val="00782E30"/>
    <w:rsid w:val="00784DAD"/>
    <w:rsid w:val="007B2EF1"/>
    <w:rsid w:val="007B4DC7"/>
    <w:rsid w:val="007D3AB0"/>
    <w:rsid w:val="007D4B6A"/>
    <w:rsid w:val="007D52B6"/>
    <w:rsid w:val="007E2E70"/>
    <w:rsid w:val="007E4AD8"/>
    <w:rsid w:val="007F45C1"/>
    <w:rsid w:val="007F6256"/>
    <w:rsid w:val="0080540F"/>
    <w:rsid w:val="00806959"/>
    <w:rsid w:val="0081487F"/>
    <w:rsid w:val="008319A6"/>
    <w:rsid w:val="00846912"/>
    <w:rsid w:val="00857F09"/>
    <w:rsid w:val="0087552C"/>
    <w:rsid w:val="008A3461"/>
    <w:rsid w:val="008A72B5"/>
    <w:rsid w:val="008D1F7A"/>
    <w:rsid w:val="008E1860"/>
    <w:rsid w:val="008E51AC"/>
    <w:rsid w:val="008F5D3E"/>
    <w:rsid w:val="00901884"/>
    <w:rsid w:val="009625C0"/>
    <w:rsid w:val="00965A27"/>
    <w:rsid w:val="00975B92"/>
    <w:rsid w:val="0098755C"/>
    <w:rsid w:val="00994FFD"/>
    <w:rsid w:val="009A0A8A"/>
    <w:rsid w:val="009A0DE2"/>
    <w:rsid w:val="009A4C8F"/>
    <w:rsid w:val="009A6F6B"/>
    <w:rsid w:val="009C0A2A"/>
    <w:rsid w:val="009C3ADF"/>
    <w:rsid w:val="009E1D96"/>
    <w:rsid w:val="009F5B6B"/>
    <w:rsid w:val="00A00729"/>
    <w:rsid w:val="00A16942"/>
    <w:rsid w:val="00A17965"/>
    <w:rsid w:val="00A67394"/>
    <w:rsid w:val="00A95710"/>
    <w:rsid w:val="00AC3ED9"/>
    <w:rsid w:val="00AE5E1F"/>
    <w:rsid w:val="00AF218A"/>
    <w:rsid w:val="00AF36BB"/>
    <w:rsid w:val="00B15557"/>
    <w:rsid w:val="00B1595A"/>
    <w:rsid w:val="00B17407"/>
    <w:rsid w:val="00B2562E"/>
    <w:rsid w:val="00B345F4"/>
    <w:rsid w:val="00B55107"/>
    <w:rsid w:val="00B557DB"/>
    <w:rsid w:val="00B66CEC"/>
    <w:rsid w:val="00B84A01"/>
    <w:rsid w:val="00B87168"/>
    <w:rsid w:val="00B942AA"/>
    <w:rsid w:val="00BB3CF5"/>
    <w:rsid w:val="00BC6784"/>
    <w:rsid w:val="00BD3C21"/>
    <w:rsid w:val="00BD6F5C"/>
    <w:rsid w:val="00BE4EF5"/>
    <w:rsid w:val="00BF1F9E"/>
    <w:rsid w:val="00BF3662"/>
    <w:rsid w:val="00C61928"/>
    <w:rsid w:val="00CE05B7"/>
    <w:rsid w:val="00CF415D"/>
    <w:rsid w:val="00CF5D55"/>
    <w:rsid w:val="00D218B0"/>
    <w:rsid w:val="00D5227E"/>
    <w:rsid w:val="00D53139"/>
    <w:rsid w:val="00D54C40"/>
    <w:rsid w:val="00D712A1"/>
    <w:rsid w:val="00D9428F"/>
    <w:rsid w:val="00DA34DF"/>
    <w:rsid w:val="00DB0393"/>
    <w:rsid w:val="00DC3C6E"/>
    <w:rsid w:val="00DD41A4"/>
    <w:rsid w:val="00DF6185"/>
    <w:rsid w:val="00E41C36"/>
    <w:rsid w:val="00E52123"/>
    <w:rsid w:val="00E61C68"/>
    <w:rsid w:val="00E66AB0"/>
    <w:rsid w:val="00E70260"/>
    <w:rsid w:val="00E82D32"/>
    <w:rsid w:val="00EE0AAF"/>
    <w:rsid w:val="00F06D52"/>
    <w:rsid w:val="00F07363"/>
    <w:rsid w:val="00F25CC6"/>
    <w:rsid w:val="00F4650C"/>
    <w:rsid w:val="00F53249"/>
    <w:rsid w:val="00F65C2A"/>
    <w:rsid w:val="00F84A0F"/>
    <w:rsid w:val="00F974DC"/>
    <w:rsid w:val="00FE472F"/>
    <w:rsid w:val="00FF22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CC46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2E70"/>
    <w:pPr>
      <w:spacing w:after="0" w:line="480" w:lineRule="auto"/>
    </w:pPr>
    <w:rPr>
      <w:rFonts w:ascii="Times New Roman" w:eastAsiaTheme="minorHAnsi" w:hAnsi="Times New Roman"/>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uiPriority w:val="59"/>
    <w:rsid w:val="007E2E70"/>
    <w:pPr>
      <w:spacing w:after="0" w:line="240" w:lineRule="auto"/>
    </w:pPr>
    <w:rPr>
      <w:rFonts w:ascii="Times New Roman" w:eastAsiaTheme="minorHAns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4872C6"/>
    <w:pPr>
      <w:tabs>
        <w:tab w:val="center" w:pos="4680"/>
        <w:tab w:val="right" w:pos="9360"/>
      </w:tabs>
      <w:spacing w:line="240" w:lineRule="auto"/>
    </w:pPr>
  </w:style>
  <w:style w:type="character" w:customStyle="1" w:styleId="HeaderChar">
    <w:name w:val="Header Char"/>
    <w:basedOn w:val="DefaultParagraphFont"/>
    <w:link w:val="Header"/>
    <w:uiPriority w:val="99"/>
    <w:rsid w:val="004872C6"/>
    <w:rPr>
      <w:rFonts w:ascii="Times New Roman" w:eastAsiaTheme="minorHAnsi" w:hAnsi="Times New Roman"/>
      <w:sz w:val="24"/>
      <w:lang w:eastAsia="en-US"/>
    </w:rPr>
  </w:style>
  <w:style w:type="paragraph" w:styleId="Footer">
    <w:name w:val="footer"/>
    <w:basedOn w:val="Normal"/>
    <w:link w:val="FooterChar"/>
    <w:uiPriority w:val="99"/>
    <w:unhideWhenUsed/>
    <w:rsid w:val="004872C6"/>
    <w:pPr>
      <w:tabs>
        <w:tab w:val="center" w:pos="4680"/>
        <w:tab w:val="right" w:pos="9360"/>
      </w:tabs>
      <w:spacing w:line="240" w:lineRule="auto"/>
    </w:pPr>
  </w:style>
  <w:style w:type="character" w:customStyle="1" w:styleId="FooterChar">
    <w:name w:val="Footer Char"/>
    <w:basedOn w:val="DefaultParagraphFont"/>
    <w:link w:val="Footer"/>
    <w:uiPriority w:val="99"/>
    <w:rsid w:val="004872C6"/>
    <w:rPr>
      <w:rFonts w:ascii="Times New Roman" w:eastAsiaTheme="minorHAnsi" w:hAnsi="Times New Roman"/>
      <w:sz w:val="24"/>
      <w:lang w:eastAsia="en-US"/>
    </w:rPr>
  </w:style>
  <w:style w:type="paragraph" w:styleId="NoSpacing">
    <w:name w:val="No Spacing"/>
    <w:uiPriority w:val="99"/>
    <w:qFormat/>
    <w:rsid w:val="00D5227E"/>
    <w:pPr>
      <w:spacing w:after="0" w:line="240" w:lineRule="auto"/>
    </w:pPr>
    <w:rPr>
      <w:rFonts w:eastAsiaTheme="minorHAnsi"/>
      <w:lang w:eastAsia="en-US"/>
    </w:rPr>
  </w:style>
  <w:style w:type="paragraph" w:styleId="ListParagraph">
    <w:name w:val="List Paragraph"/>
    <w:basedOn w:val="Normal"/>
    <w:uiPriority w:val="34"/>
    <w:qFormat/>
    <w:rsid w:val="00AF218A"/>
    <w:pPr>
      <w:spacing w:after="200" w:line="276" w:lineRule="auto"/>
      <w:ind w:left="720"/>
      <w:contextualSpacing/>
    </w:pPr>
    <w:rPr>
      <w:rFonts w:asciiTheme="minorHAnsi" w:hAnsiTheme="minorHAnsi"/>
      <w:sz w:val="22"/>
    </w:rPr>
  </w:style>
  <w:style w:type="character" w:styleId="Hyperlink">
    <w:name w:val="Hyperlink"/>
    <w:basedOn w:val="DefaultParagraphFont"/>
    <w:uiPriority w:val="99"/>
    <w:semiHidden/>
    <w:unhideWhenUsed/>
    <w:rsid w:val="002877E6"/>
    <w:rPr>
      <w:color w:val="0000FF"/>
      <w:u w:val="single"/>
    </w:rPr>
  </w:style>
  <w:style w:type="character" w:customStyle="1" w:styleId="costarpage">
    <w:name w:val="co_starpage"/>
    <w:basedOn w:val="DefaultParagraphFont"/>
    <w:rsid w:val="002877E6"/>
  </w:style>
  <w:style w:type="character" w:styleId="Emphasis">
    <w:name w:val="Emphasis"/>
    <w:basedOn w:val="DefaultParagraphFont"/>
    <w:uiPriority w:val="20"/>
    <w:qFormat/>
    <w:rsid w:val="0081487F"/>
    <w:rPr>
      <w:i/>
      <w:iCs/>
    </w:rPr>
  </w:style>
  <w:style w:type="character" w:customStyle="1" w:styleId="cosearchterm">
    <w:name w:val="co_searchterm"/>
    <w:basedOn w:val="DefaultParagraphFont"/>
    <w:rsid w:val="00C61928"/>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2E70"/>
    <w:pPr>
      <w:spacing w:after="0" w:line="480" w:lineRule="auto"/>
    </w:pPr>
    <w:rPr>
      <w:rFonts w:ascii="Times New Roman" w:eastAsiaTheme="minorHAnsi" w:hAnsi="Times New Roman"/>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uiPriority w:val="59"/>
    <w:rsid w:val="007E2E70"/>
    <w:pPr>
      <w:spacing w:after="0" w:line="240" w:lineRule="auto"/>
    </w:pPr>
    <w:rPr>
      <w:rFonts w:ascii="Times New Roman" w:eastAsiaTheme="minorHAns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4872C6"/>
    <w:pPr>
      <w:tabs>
        <w:tab w:val="center" w:pos="4680"/>
        <w:tab w:val="right" w:pos="9360"/>
      </w:tabs>
      <w:spacing w:line="240" w:lineRule="auto"/>
    </w:pPr>
  </w:style>
  <w:style w:type="character" w:customStyle="1" w:styleId="HeaderChar">
    <w:name w:val="Header Char"/>
    <w:basedOn w:val="DefaultParagraphFont"/>
    <w:link w:val="Header"/>
    <w:uiPriority w:val="99"/>
    <w:rsid w:val="004872C6"/>
    <w:rPr>
      <w:rFonts w:ascii="Times New Roman" w:eastAsiaTheme="minorHAnsi" w:hAnsi="Times New Roman"/>
      <w:sz w:val="24"/>
      <w:lang w:eastAsia="en-US"/>
    </w:rPr>
  </w:style>
  <w:style w:type="paragraph" w:styleId="Footer">
    <w:name w:val="footer"/>
    <w:basedOn w:val="Normal"/>
    <w:link w:val="FooterChar"/>
    <w:uiPriority w:val="99"/>
    <w:unhideWhenUsed/>
    <w:rsid w:val="004872C6"/>
    <w:pPr>
      <w:tabs>
        <w:tab w:val="center" w:pos="4680"/>
        <w:tab w:val="right" w:pos="9360"/>
      </w:tabs>
      <w:spacing w:line="240" w:lineRule="auto"/>
    </w:pPr>
  </w:style>
  <w:style w:type="character" w:customStyle="1" w:styleId="FooterChar">
    <w:name w:val="Footer Char"/>
    <w:basedOn w:val="DefaultParagraphFont"/>
    <w:link w:val="Footer"/>
    <w:uiPriority w:val="99"/>
    <w:rsid w:val="004872C6"/>
    <w:rPr>
      <w:rFonts w:ascii="Times New Roman" w:eastAsiaTheme="minorHAnsi" w:hAnsi="Times New Roman"/>
      <w:sz w:val="24"/>
      <w:lang w:eastAsia="en-US"/>
    </w:rPr>
  </w:style>
  <w:style w:type="paragraph" w:styleId="NoSpacing">
    <w:name w:val="No Spacing"/>
    <w:uiPriority w:val="99"/>
    <w:qFormat/>
    <w:rsid w:val="00D5227E"/>
    <w:pPr>
      <w:spacing w:after="0" w:line="240" w:lineRule="auto"/>
    </w:pPr>
    <w:rPr>
      <w:rFonts w:eastAsiaTheme="minorHAnsi"/>
      <w:lang w:eastAsia="en-US"/>
    </w:rPr>
  </w:style>
  <w:style w:type="paragraph" w:styleId="ListParagraph">
    <w:name w:val="List Paragraph"/>
    <w:basedOn w:val="Normal"/>
    <w:uiPriority w:val="34"/>
    <w:qFormat/>
    <w:rsid w:val="00AF218A"/>
    <w:pPr>
      <w:spacing w:after="200" w:line="276" w:lineRule="auto"/>
      <w:ind w:left="720"/>
      <w:contextualSpacing/>
    </w:pPr>
    <w:rPr>
      <w:rFonts w:asciiTheme="minorHAnsi" w:hAnsiTheme="minorHAnsi"/>
      <w:sz w:val="22"/>
    </w:rPr>
  </w:style>
  <w:style w:type="character" w:styleId="Hyperlink">
    <w:name w:val="Hyperlink"/>
    <w:basedOn w:val="DefaultParagraphFont"/>
    <w:uiPriority w:val="99"/>
    <w:semiHidden/>
    <w:unhideWhenUsed/>
    <w:rsid w:val="002877E6"/>
    <w:rPr>
      <w:color w:val="0000FF"/>
      <w:u w:val="single"/>
    </w:rPr>
  </w:style>
  <w:style w:type="character" w:customStyle="1" w:styleId="costarpage">
    <w:name w:val="co_starpage"/>
    <w:basedOn w:val="DefaultParagraphFont"/>
    <w:rsid w:val="002877E6"/>
  </w:style>
  <w:style w:type="character" w:styleId="Emphasis">
    <w:name w:val="Emphasis"/>
    <w:basedOn w:val="DefaultParagraphFont"/>
    <w:uiPriority w:val="20"/>
    <w:qFormat/>
    <w:rsid w:val="0081487F"/>
    <w:rPr>
      <w:i/>
      <w:iCs/>
    </w:rPr>
  </w:style>
  <w:style w:type="character" w:customStyle="1" w:styleId="cosearchterm">
    <w:name w:val="co_searchterm"/>
    <w:basedOn w:val="DefaultParagraphFont"/>
    <w:rsid w:val="00C619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047085">
      <w:bodyDiv w:val="1"/>
      <w:marLeft w:val="0"/>
      <w:marRight w:val="0"/>
      <w:marTop w:val="0"/>
      <w:marBottom w:val="0"/>
      <w:divBdr>
        <w:top w:val="none" w:sz="0" w:space="0" w:color="auto"/>
        <w:left w:val="none" w:sz="0" w:space="0" w:color="auto"/>
        <w:bottom w:val="none" w:sz="0" w:space="0" w:color="auto"/>
        <w:right w:val="none" w:sz="0" w:space="0" w:color="auto"/>
      </w:divBdr>
    </w:div>
    <w:div w:id="78909994">
      <w:bodyDiv w:val="1"/>
      <w:marLeft w:val="0"/>
      <w:marRight w:val="0"/>
      <w:marTop w:val="0"/>
      <w:marBottom w:val="0"/>
      <w:divBdr>
        <w:top w:val="none" w:sz="0" w:space="0" w:color="auto"/>
        <w:left w:val="none" w:sz="0" w:space="0" w:color="auto"/>
        <w:bottom w:val="none" w:sz="0" w:space="0" w:color="auto"/>
        <w:right w:val="none" w:sz="0" w:space="0" w:color="auto"/>
      </w:divBdr>
    </w:div>
    <w:div w:id="116415298">
      <w:bodyDiv w:val="1"/>
      <w:marLeft w:val="0"/>
      <w:marRight w:val="0"/>
      <w:marTop w:val="0"/>
      <w:marBottom w:val="0"/>
      <w:divBdr>
        <w:top w:val="none" w:sz="0" w:space="0" w:color="auto"/>
        <w:left w:val="none" w:sz="0" w:space="0" w:color="auto"/>
        <w:bottom w:val="none" w:sz="0" w:space="0" w:color="auto"/>
        <w:right w:val="none" w:sz="0" w:space="0" w:color="auto"/>
      </w:divBdr>
    </w:div>
    <w:div w:id="343363251">
      <w:bodyDiv w:val="1"/>
      <w:marLeft w:val="0"/>
      <w:marRight w:val="0"/>
      <w:marTop w:val="0"/>
      <w:marBottom w:val="0"/>
      <w:divBdr>
        <w:top w:val="none" w:sz="0" w:space="0" w:color="auto"/>
        <w:left w:val="none" w:sz="0" w:space="0" w:color="auto"/>
        <w:bottom w:val="none" w:sz="0" w:space="0" w:color="auto"/>
        <w:right w:val="none" w:sz="0" w:space="0" w:color="auto"/>
      </w:divBdr>
    </w:div>
    <w:div w:id="397367719">
      <w:bodyDiv w:val="1"/>
      <w:marLeft w:val="0"/>
      <w:marRight w:val="0"/>
      <w:marTop w:val="0"/>
      <w:marBottom w:val="0"/>
      <w:divBdr>
        <w:top w:val="none" w:sz="0" w:space="0" w:color="auto"/>
        <w:left w:val="none" w:sz="0" w:space="0" w:color="auto"/>
        <w:bottom w:val="none" w:sz="0" w:space="0" w:color="auto"/>
        <w:right w:val="none" w:sz="0" w:space="0" w:color="auto"/>
      </w:divBdr>
    </w:div>
    <w:div w:id="436173270">
      <w:bodyDiv w:val="1"/>
      <w:marLeft w:val="0"/>
      <w:marRight w:val="0"/>
      <w:marTop w:val="0"/>
      <w:marBottom w:val="0"/>
      <w:divBdr>
        <w:top w:val="none" w:sz="0" w:space="0" w:color="auto"/>
        <w:left w:val="none" w:sz="0" w:space="0" w:color="auto"/>
        <w:bottom w:val="none" w:sz="0" w:space="0" w:color="auto"/>
        <w:right w:val="none" w:sz="0" w:space="0" w:color="auto"/>
      </w:divBdr>
    </w:div>
    <w:div w:id="472215178">
      <w:bodyDiv w:val="1"/>
      <w:marLeft w:val="0"/>
      <w:marRight w:val="0"/>
      <w:marTop w:val="0"/>
      <w:marBottom w:val="0"/>
      <w:divBdr>
        <w:top w:val="none" w:sz="0" w:space="0" w:color="auto"/>
        <w:left w:val="none" w:sz="0" w:space="0" w:color="auto"/>
        <w:bottom w:val="none" w:sz="0" w:space="0" w:color="auto"/>
        <w:right w:val="none" w:sz="0" w:space="0" w:color="auto"/>
      </w:divBdr>
    </w:div>
    <w:div w:id="533083027">
      <w:bodyDiv w:val="1"/>
      <w:marLeft w:val="0"/>
      <w:marRight w:val="0"/>
      <w:marTop w:val="0"/>
      <w:marBottom w:val="0"/>
      <w:divBdr>
        <w:top w:val="none" w:sz="0" w:space="0" w:color="auto"/>
        <w:left w:val="none" w:sz="0" w:space="0" w:color="auto"/>
        <w:bottom w:val="none" w:sz="0" w:space="0" w:color="auto"/>
        <w:right w:val="none" w:sz="0" w:space="0" w:color="auto"/>
      </w:divBdr>
    </w:div>
    <w:div w:id="550506421">
      <w:bodyDiv w:val="1"/>
      <w:marLeft w:val="0"/>
      <w:marRight w:val="0"/>
      <w:marTop w:val="0"/>
      <w:marBottom w:val="0"/>
      <w:divBdr>
        <w:top w:val="none" w:sz="0" w:space="0" w:color="auto"/>
        <w:left w:val="none" w:sz="0" w:space="0" w:color="auto"/>
        <w:bottom w:val="none" w:sz="0" w:space="0" w:color="auto"/>
        <w:right w:val="none" w:sz="0" w:space="0" w:color="auto"/>
      </w:divBdr>
    </w:div>
    <w:div w:id="576596430">
      <w:bodyDiv w:val="1"/>
      <w:marLeft w:val="0"/>
      <w:marRight w:val="0"/>
      <w:marTop w:val="0"/>
      <w:marBottom w:val="0"/>
      <w:divBdr>
        <w:top w:val="none" w:sz="0" w:space="0" w:color="auto"/>
        <w:left w:val="none" w:sz="0" w:space="0" w:color="auto"/>
        <w:bottom w:val="none" w:sz="0" w:space="0" w:color="auto"/>
        <w:right w:val="none" w:sz="0" w:space="0" w:color="auto"/>
      </w:divBdr>
    </w:div>
    <w:div w:id="589192329">
      <w:bodyDiv w:val="1"/>
      <w:marLeft w:val="0"/>
      <w:marRight w:val="0"/>
      <w:marTop w:val="0"/>
      <w:marBottom w:val="0"/>
      <w:divBdr>
        <w:top w:val="none" w:sz="0" w:space="0" w:color="auto"/>
        <w:left w:val="none" w:sz="0" w:space="0" w:color="auto"/>
        <w:bottom w:val="none" w:sz="0" w:space="0" w:color="auto"/>
        <w:right w:val="none" w:sz="0" w:space="0" w:color="auto"/>
      </w:divBdr>
    </w:div>
    <w:div w:id="656348349">
      <w:bodyDiv w:val="1"/>
      <w:marLeft w:val="0"/>
      <w:marRight w:val="0"/>
      <w:marTop w:val="0"/>
      <w:marBottom w:val="0"/>
      <w:divBdr>
        <w:top w:val="none" w:sz="0" w:space="0" w:color="auto"/>
        <w:left w:val="none" w:sz="0" w:space="0" w:color="auto"/>
        <w:bottom w:val="none" w:sz="0" w:space="0" w:color="auto"/>
        <w:right w:val="none" w:sz="0" w:space="0" w:color="auto"/>
      </w:divBdr>
    </w:div>
    <w:div w:id="1093235892">
      <w:bodyDiv w:val="1"/>
      <w:marLeft w:val="0"/>
      <w:marRight w:val="0"/>
      <w:marTop w:val="0"/>
      <w:marBottom w:val="0"/>
      <w:divBdr>
        <w:top w:val="none" w:sz="0" w:space="0" w:color="auto"/>
        <w:left w:val="none" w:sz="0" w:space="0" w:color="auto"/>
        <w:bottom w:val="none" w:sz="0" w:space="0" w:color="auto"/>
        <w:right w:val="none" w:sz="0" w:space="0" w:color="auto"/>
      </w:divBdr>
    </w:div>
    <w:div w:id="1334144244">
      <w:bodyDiv w:val="1"/>
      <w:marLeft w:val="0"/>
      <w:marRight w:val="0"/>
      <w:marTop w:val="0"/>
      <w:marBottom w:val="0"/>
      <w:divBdr>
        <w:top w:val="none" w:sz="0" w:space="0" w:color="auto"/>
        <w:left w:val="none" w:sz="0" w:space="0" w:color="auto"/>
        <w:bottom w:val="none" w:sz="0" w:space="0" w:color="auto"/>
        <w:right w:val="none" w:sz="0" w:space="0" w:color="auto"/>
      </w:divBdr>
    </w:div>
    <w:div w:id="1478645198">
      <w:bodyDiv w:val="1"/>
      <w:marLeft w:val="0"/>
      <w:marRight w:val="0"/>
      <w:marTop w:val="0"/>
      <w:marBottom w:val="0"/>
      <w:divBdr>
        <w:top w:val="none" w:sz="0" w:space="0" w:color="auto"/>
        <w:left w:val="none" w:sz="0" w:space="0" w:color="auto"/>
        <w:bottom w:val="none" w:sz="0" w:space="0" w:color="auto"/>
        <w:right w:val="none" w:sz="0" w:space="0" w:color="auto"/>
      </w:divBdr>
    </w:div>
    <w:div w:id="1732583935">
      <w:bodyDiv w:val="1"/>
      <w:marLeft w:val="0"/>
      <w:marRight w:val="0"/>
      <w:marTop w:val="0"/>
      <w:marBottom w:val="0"/>
      <w:divBdr>
        <w:top w:val="none" w:sz="0" w:space="0" w:color="auto"/>
        <w:left w:val="none" w:sz="0" w:space="0" w:color="auto"/>
        <w:bottom w:val="none" w:sz="0" w:space="0" w:color="auto"/>
        <w:right w:val="none" w:sz="0" w:space="0" w:color="auto"/>
      </w:divBdr>
    </w:div>
    <w:div w:id="1810785357">
      <w:bodyDiv w:val="1"/>
      <w:marLeft w:val="0"/>
      <w:marRight w:val="0"/>
      <w:marTop w:val="0"/>
      <w:marBottom w:val="0"/>
      <w:divBdr>
        <w:top w:val="none" w:sz="0" w:space="0" w:color="auto"/>
        <w:left w:val="none" w:sz="0" w:space="0" w:color="auto"/>
        <w:bottom w:val="none" w:sz="0" w:space="0" w:color="auto"/>
        <w:right w:val="none" w:sz="0" w:space="0" w:color="auto"/>
      </w:divBdr>
    </w:div>
    <w:div w:id="1830630704">
      <w:bodyDiv w:val="1"/>
      <w:marLeft w:val="0"/>
      <w:marRight w:val="0"/>
      <w:marTop w:val="0"/>
      <w:marBottom w:val="0"/>
      <w:divBdr>
        <w:top w:val="none" w:sz="0" w:space="0" w:color="auto"/>
        <w:left w:val="none" w:sz="0" w:space="0" w:color="auto"/>
        <w:bottom w:val="none" w:sz="0" w:space="0" w:color="auto"/>
        <w:right w:val="none" w:sz="0" w:space="0" w:color="auto"/>
      </w:divBdr>
    </w:div>
    <w:div w:id="1863279434">
      <w:bodyDiv w:val="1"/>
      <w:marLeft w:val="0"/>
      <w:marRight w:val="0"/>
      <w:marTop w:val="0"/>
      <w:marBottom w:val="0"/>
      <w:divBdr>
        <w:top w:val="none" w:sz="0" w:space="0" w:color="auto"/>
        <w:left w:val="none" w:sz="0" w:space="0" w:color="auto"/>
        <w:bottom w:val="none" w:sz="0" w:space="0" w:color="auto"/>
        <w:right w:val="none" w:sz="0" w:space="0" w:color="auto"/>
      </w:divBdr>
    </w:div>
    <w:div w:id="1942487060">
      <w:bodyDiv w:val="1"/>
      <w:marLeft w:val="0"/>
      <w:marRight w:val="0"/>
      <w:marTop w:val="0"/>
      <w:marBottom w:val="0"/>
      <w:divBdr>
        <w:top w:val="none" w:sz="0" w:space="0" w:color="auto"/>
        <w:left w:val="none" w:sz="0" w:space="0" w:color="auto"/>
        <w:bottom w:val="none" w:sz="0" w:space="0" w:color="auto"/>
        <w:right w:val="none" w:sz="0" w:space="0" w:color="auto"/>
      </w:divBdr>
    </w:div>
    <w:div w:id="2016567951">
      <w:bodyDiv w:val="1"/>
      <w:marLeft w:val="0"/>
      <w:marRight w:val="0"/>
      <w:marTop w:val="0"/>
      <w:marBottom w:val="0"/>
      <w:divBdr>
        <w:top w:val="none" w:sz="0" w:space="0" w:color="auto"/>
        <w:left w:val="none" w:sz="0" w:space="0" w:color="auto"/>
        <w:bottom w:val="none" w:sz="0" w:space="0" w:color="auto"/>
        <w:right w:val="none" w:sz="0" w:space="0" w:color="auto"/>
      </w:divBdr>
    </w:div>
    <w:div w:id="214180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1.next.westlaw.com/Link/Document/FullText?findType=Y&amp;serNum=1986155689&amp;pubNum=780&amp;originationContext=document&amp;transitionType=DocumentItem&amp;contextData=%28sc.RelatedInfo%29" TargetMode="Externa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15</Pages>
  <Words>4521</Words>
  <Characters>23106</Characters>
  <Application>Microsoft Macintosh Word</Application>
  <DocSecurity>0</DocSecurity>
  <Lines>366</Lines>
  <Paragraphs>84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27543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2012-04-30T12:12:00Z</dcterms:created>
  <dcterms:modified xsi:type="dcterms:W3CDTF">2012-06-02T14:08:00Z</dcterms:modified>
  <cp:category/>
</cp:coreProperties>
</file>